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88" w:rsidRDefault="003B1388" w:rsidP="00C813EC">
      <w:pPr>
        <w:autoSpaceDE w:val="0"/>
        <w:autoSpaceDN w:val="0"/>
        <w:adjustRightInd w:val="0"/>
        <w:jc w:val="right"/>
        <w:rPr>
          <w:sz w:val="20"/>
          <w:szCs w:val="20"/>
        </w:rPr>
      </w:pPr>
    </w:p>
    <w:p w:rsidR="003B1388" w:rsidRDefault="003B1388" w:rsidP="00C813EC">
      <w:pPr>
        <w:autoSpaceDE w:val="0"/>
        <w:autoSpaceDN w:val="0"/>
        <w:adjustRightInd w:val="0"/>
        <w:jc w:val="right"/>
        <w:rPr>
          <w:sz w:val="20"/>
          <w:szCs w:val="20"/>
        </w:rPr>
      </w:pPr>
    </w:p>
    <w:p w:rsidR="003B1388" w:rsidRDefault="003B1388" w:rsidP="00C813EC">
      <w:pPr>
        <w:autoSpaceDE w:val="0"/>
        <w:autoSpaceDN w:val="0"/>
        <w:adjustRightInd w:val="0"/>
        <w:jc w:val="right"/>
        <w:rPr>
          <w:sz w:val="20"/>
          <w:szCs w:val="20"/>
        </w:rPr>
      </w:pPr>
    </w:p>
    <w:p w:rsidR="003B1388" w:rsidRDefault="003B1388" w:rsidP="00C813EC">
      <w:pPr>
        <w:autoSpaceDE w:val="0"/>
        <w:autoSpaceDN w:val="0"/>
        <w:adjustRightInd w:val="0"/>
        <w:jc w:val="right"/>
        <w:rPr>
          <w:sz w:val="20"/>
          <w:szCs w:val="20"/>
        </w:rPr>
      </w:pPr>
    </w:p>
    <w:p w:rsidR="00C813EC" w:rsidRPr="003149FA" w:rsidRDefault="00C813EC" w:rsidP="00C813EC">
      <w:pPr>
        <w:autoSpaceDE w:val="0"/>
        <w:autoSpaceDN w:val="0"/>
        <w:adjustRightInd w:val="0"/>
        <w:jc w:val="right"/>
        <w:rPr>
          <w:sz w:val="20"/>
          <w:szCs w:val="20"/>
        </w:rPr>
      </w:pPr>
      <w:r>
        <w:rPr>
          <w:sz w:val="20"/>
          <w:szCs w:val="20"/>
        </w:rPr>
        <w:t>Załącznik Nr 2</w:t>
      </w:r>
    </w:p>
    <w:p w:rsidR="00C813EC" w:rsidRPr="003149FA" w:rsidRDefault="00C813EC" w:rsidP="00C813EC">
      <w:pPr>
        <w:autoSpaceDE w:val="0"/>
        <w:autoSpaceDN w:val="0"/>
        <w:adjustRightInd w:val="0"/>
        <w:jc w:val="right"/>
        <w:rPr>
          <w:sz w:val="20"/>
          <w:szCs w:val="20"/>
        </w:rPr>
      </w:pPr>
      <w:r>
        <w:rPr>
          <w:sz w:val="20"/>
          <w:szCs w:val="20"/>
        </w:rPr>
        <w:t>do u</w:t>
      </w:r>
      <w:r w:rsidR="006B271C">
        <w:rPr>
          <w:sz w:val="20"/>
          <w:szCs w:val="20"/>
        </w:rPr>
        <w:t>chwały Nr XX/132/2012</w:t>
      </w:r>
    </w:p>
    <w:p w:rsidR="00C813EC" w:rsidRPr="003149FA" w:rsidRDefault="00C813EC" w:rsidP="00C813EC">
      <w:pPr>
        <w:autoSpaceDE w:val="0"/>
        <w:autoSpaceDN w:val="0"/>
        <w:adjustRightInd w:val="0"/>
        <w:jc w:val="right"/>
        <w:rPr>
          <w:sz w:val="20"/>
          <w:szCs w:val="20"/>
        </w:rPr>
      </w:pPr>
      <w:r w:rsidRPr="003149FA">
        <w:rPr>
          <w:sz w:val="20"/>
          <w:szCs w:val="20"/>
        </w:rPr>
        <w:t xml:space="preserve">Rady Gminy Lelis </w:t>
      </w:r>
    </w:p>
    <w:p w:rsidR="00C813EC" w:rsidRDefault="00C813EC" w:rsidP="00C813EC">
      <w:pPr>
        <w:autoSpaceDE w:val="0"/>
        <w:autoSpaceDN w:val="0"/>
        <w:adjustRightInd w:val="0"/>
        <w:jc w:val="right"/>
      </w:pPr>
      <w:r w:rsidRPr="003149FA">
        <w:rPr>
          <w:sz w:val="20"/>
          <w:szCs w:val="20"/>
        </w:rPr>
        <w:t>z dnia</w:t>
      </w:r>
      <w:r>
        <w:rPr>
          <w:sz w:val="20"/>
          <w:szCs w:val="20"/>
        </w:rPr>
        <w:t xml:space="preserve"> 27 grudnia 2012r.</w:t>
      </w:r>
    </w:p>
    <w:p w:rsidR="00160E49" w:rsidRDefault="00160E49" w:rsidP="00C813EC">
      <w:pPr>
        <w:jc w:val="center"/>
        <w:rPr>
          <w:b/>
          <w:sz w:val="28"/>
        </w:rPr>
      </w:pPr>
    </w:p>
    <w:p w:rsidR="00160E49" w:rsidRDefault="00160E49" w:rsidP="00C813EC">
      <w:pPr>
        <w:jc w:val="center"/>
        <w:rPr>
          <w:b/>
          <w:sz w:val="28"/>
        </w:rPr>
      </w:pPr>
    </w:p>
    <w:p w:rsidR="00160E49" w:rsidRDefault="00160E49" w:rsidP="00C813EC">
      <w:pPr>
        <w:jc w:val="center"/>
        <w:rPr>
          <w:b/>
          <w:sz w:val="28"/>
        </w:rPr>
      </w:pPr>
    </w:p>
    <w:p w:rsidR="00C813EC" w:rsidRDefault="00C813EC" w:rsidP="00C813EC">
      <w:pPr>
        <w:jc w:val="center"/>
        <w:rPr>
          <w:b/>
          <w:sz w:val="28"/>
        </w:rPr>
      </w:pPr>
      <w:r w:rsidRPr="00C813EC">
        <w:rPr>
          <w:b/>
          <w:sz w:val="28"/>
        </w:rPr>
        <w:t>Wykaz przedsięwzięć do WPF</w:t>
      </w:r>
    </w:p>
    <w:p w:rsidR="00C813EC" w:rsidRPr="00C813EC" w:rsidRDefault="00C813EC" w:rsidP="00C813EC">
      <w:pPr>
        <w:jc w:val="center"/>
        <w:rPr>
          <w:b/>
          <w:sz w:val="28"/>
        </w:rPr>
      </w:pPr>
    </w:p>
    <w:tbl>
      <w:tblPr>
        <w:tblW w:w="15026" w:type="dxa"/>
        <w:tblLayout w:type="fixed"/>
        <w:tblCellMar>
          <w:left w:w="0" w:type="dxa"/>
          <w:right w:w="0" w:type="dxa"/>
        </w:tblCellMar>
        <w:tblLook w:val="0000" w:firstRow="0" w:lastRow="0" w:firstColumn="0" w:lastColumn="0" w:noHBand="0" w:noVBand="0"/>
      </w:tblPr>
      <w:tblGrid>
        <w:gridCol w:w="50"/>
        <w:gridCol w:w="2100"/>
        <w:gridCol w:w="230"/>
        <w:gridCol w:w="280"/>
        <w:gridCol w:w="230"/>
        <w:gridCol w:w="790"/>
        <w:gridCol w:w="570"/>
        <w:gridCol w:w="730"/>
        <w:gridCol w:w="630"/>
        <w:gridCol w:w="680"/>
        <w:gridCol w:w="680"/>
        <w:gridCol w:w="620"/>
        <w:gridCol w:w="740"/>
        <w:gridCol w:w="570"/>
        <w:gridCol w:w="790"/>
        <w:gridCol w:w="510"/>
        <w:gridCol w:w="850"/>
        <w:gridCol w:w="450"/>
        <w:gridCol w:w="910"/>
        <w:gridCol w:w="206"/>
        <w:gridCol w:w="1134"/>
        <w:gridCol w:w="20"/>
        <w:gridCol w:w="1256"/>
      </w:tblGrid>
      <w:tr w:rsidR="00C813EC" w:rsidTr="00C813EC">
        <w:trPr>
          <w:trHeight w:hRule="exact" w:val="45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14976" w:type="dxa"/>
            <w:gridSpan w:val="2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rPr>
            </w:pPr>
            <w:r>
              <w:rPr>
                <w:rFonts w:ascii="Arial" w:hAnsi="Arial" w:cs="Arial"/>
                <w:color w:val="000000"/>
              </w:rPr>
              <w:t>Zbiorczo  przedsięwzięcia</w:t>
            </w:r>
          </w:p>
        </w:tc>
      </w:tr>
      <w:tr w:rsidR="00C813EC" w:rsidTr="00C813EC">
        <w:trPr>
          <w:trHeight w:hRule="exact" w:val="90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Rok</w:t>
            </w:r>
          </w:p>
        </w:tc>
        <w:tc>
          <w:tcPr>
            <w:tcW w:w="3910" w:type="dxa"/>
            <w:gridSpan w:val="7"/>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Zbiorczo</w:t>
            </w:r>
          </w:p>
        </w:tc>
        <w:tc>
          <w:tcPr>
            <w:tcW w:w="3910" w:type="dxa"/>
            <w:gridSpan w:val="6"/>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 programy, projekty lub zadania (razem)</w:t>
            </w:r>
          </w:p>
        </w:tc>
        <w:tc>
          <w:tcPr>
            <w:tcW w:w="3550" w:type="dxa"/>
            <w:gridSpan w:val="5"/>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 umowy, których realizacja w roku budżetowym i w latach następnych jest niezbędna dla zapewnienia ciągłości działania jednostki i których płatności przypadają w okresie dłuższym niż rok; (razem)</w:t>
            </w:r>
          </w:p>
        </w:tc>
        <w:tc>
          <w:tcPr>
            <w:tcW w:w="1276"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 gwarancje i poręczenia udzielane przez jednostki samorządu terytorialnego (wydatki bieżące)</w:t>
            </w:r>
          </w:p>
        </w:tc>
      </w:tr>
      <w:tr w:rsidR="00C813EC" w:rsidTr="00C813EC">
        <w:trPr>
          <w:trHeight w:hRule="exact" w:val="45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330"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276"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łączne nakłady finansowe</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22 422 179,55</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660 030,00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21 762 149,55</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22 422 179,55</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660 030,00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21 762 149,55</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limit zobowiązań</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16 708 690,51</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523 200,00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16 185 490,51</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16 708 690,51</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523 200,00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16 185 490,51</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5 224 449,58</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233 700,00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4 990 749,58</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5 224 449,58</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233 700,00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4 990 749,58</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6 743 026,99</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193 000,00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6 550 026,99</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6 743 026,99</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193 000,00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6 550 026,99</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3 959 460,00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96 500,00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3 862 960,00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3 959 460,00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96 500,00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3 862 960,00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pPr>
          </w:p>
        </w:tc>
        <w:tc>
          <w:tcPr>
            <w:tcW w:w="2100" w:type="dxa"/>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c>
          <w:tcPr>
            <w:tcW w:w="131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1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134"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C813EC" w:rsidTr="00C813EC">
        <w:trPr>
          <w:trHeight w:hRule="exact" w:val="45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14976" w:type="dxa"/>
            <w:gridSpan w:val="2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rPr>
            </w:pPr>
            <w:r>
              <w:rPr>
                <w:rFonts w:ascii="Arial" w:hAnsi="Arial" w:cs="Arial"/>
                <w:color w:val="000000"/>
              </w:rPr>
              <w:t>Zbiorczo programy, projekty lub zadania</w:t>
            </w:r>
          </w:p>
        </w:tc>
      </w:tr>
      <w:tr w:rsidR="00C813EC" w:rsidTr="00C813EC">
        <w:trPr>
          <w:trHeight w:hRule="exact" w:val="90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840" w:type="dxa"/>
            <w:gridSpan w:val="4"/>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Rok</w:t>
            </w:r>
          </w:p>
        </w:tc>
        <w:tc>
          <w:tcPr>
            <w:tcW w:w="4080" w:type="dxa"/>
            <w:gridSpan w:val="6"/>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 programy, projekty lub zadania związane z programami realizowanymi z udziałem środków, o których mowa w art. 5 ust. 1 pkt 2 i 3, (razem)</w:t>
            </w:r>
          </w:p>
        </w:tc>
        <w:tc>
          <w:tcPr>
            <w:tcW w:w="4080" w:type="dxa"/>
            <w:gridSpan w:val="6"/>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b) programy, projekty lub zadania związane z umowami partnerstwa publiczno-prywatnego; (razem)</w:t>
            </w:r>
          </w:p>
        </w:tc>
        <w:tc>
          <w:tcPr>
            <w:tcW w:w="3976" w:type="dxa"/>
            <w:gridSpan w:val="6"/>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c) programy, projekty lub zadania pozostałe (inne niż wymienione w </w:t>
            </w:r>
            <w:proofErr w:type="spellStart"/>
            <w:r>
              <w:rPr>
                <w:rFonts w:ascii="Arial" w:hAnsi="Arial" w:cs="Arial"/>
                <w:color w:val="000000"/>
                <w:sz w:val="16"/>
                <w:szCs w:val="16"/>
              </w:rPr>
              <w:t>lit.a</w:t>
            </w:r>
            <w:proofErr w:type="spellEnd"/>
            <w:r>
              <w:rPr>
                <w:rFonts w:ascii="Arial" w:hAnsi="Arial" w:cs="Arial"/>
                <w:color w:val="000000"/>
                <w:sz w:val="16"/>
                <w:szCs w:val="16"/>
              </w:rPr>
              <w:t xml:space="preserve"> i b) (razem)</w:t>
            </w:r>
          </w:p>
        </w:tc>
      </w:tr>
      <w:tr w:rsidR="00C813EC" w:rsidTr="00C813EC">
        <w:trPr>
          <w:trHeight w:hRule="exact" w:val="45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840" w:type="dxa"/>
            <w:gridSpan w:val="4"/>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sz w:val="8"/>
                <w:szCs w:val="8"/>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łączne nakłady finansowe</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986 941,00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660 030,00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326 911,00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21 435 238,55</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21 435 238,55</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limit zobowiązań</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827 076,51</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523 200,00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303 876,51</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15 881 614,00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15 881 614,00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516 549,58</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233 700,00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282 849,58</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4 707 900,00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4 707 900,00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214 026,99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193 000,00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21 026,99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6 529 000,00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6 529 000,00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96 500,00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96 500,00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3 862 960,00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3 862 960,00</w:t>
            </w:r>
          </w:p>
        </w:tc>
      </w:tr>
      <w:tr w:rsidR="00C813EC" w:rsidTr="00C813EC">
        <w:trPr>
          <w:trHeight w:hRule="exact" w:val="220"/>
        </w:trPr>
        <w:tc>
          <w:tcPr>
            <w:tcW w:w="50" w:type="dxa"/>
            <w:tcBorders>
              <w:top w:val="nil"/>
              <w:left w:val="nil"/>
              <w:bottom w:val="nil"/>
              <w:right w:val="nil"/>
            </w:tcBorders>
          </w:tcPr>
          <w:p w:rsidR="00C813EC" w:rsidRDefault="00C813EC" w:rsidP="00C813EC">
            <w:pPr>
              <w:widowControl w:val="0"/>
              <w:autoSpaceDE w:val="0"/>
              <w:autoSpaceDN w:val="0"/>
              <w:adjustRightInd w:val="0"/>
              <w:rPr>
                <w:rFonts w:ascii="Arial" w:hAnsi="Arial" w:cs="Arial"/>
                <w:sz w:val="8"/>
                <w:szCs w:val="8"/>
              </w:rPr>
            </w:pPr>
          </w:p>
        </w:tc>
        <w:tc>
          <w:tcPr>
            <w:tcW w:w="2610" w:type="dxa"/>
            <w:gridSpan w:val="3"/>
            <w:tcBorders>
              <w:top w:val="single" w:sz="9" w:space="0" w:color="000000"/>
              <w:left w:val="single" w:sz="9" w:space="0" w:color="000000"/>
              <w:bottom w:val="single" w:sz="9" w:space="0" w:color="000000"/>
              <w:right w:val="nil"/>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230" w:type="dxa"/>
            <w:tcBorders>
              <w:top w:val="single" w:sz="9" w:space="0" w:color="000000"/>
              <w:left w:val="nil"/>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56" w:type="dxa"/>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4 051 754,00</w:t>
            </w:r>
          </w:p>
        </w:tc>
      </w:tr>
    </w:tbl>
    <w:p w:rsidR="00160E49" w:rsidRDefault="00160E49" w:rsidP="007A452A">
      <w:pPr>
        <w:jc w:val="center"/>
        <w:rPr>
          <w:rFonts w:ascii="Arial" w:hAnsi="Arial" w:cs="Arial"/>
          <w:b/>
        </w:rPr>
      </w:pPr>
    </w:p>
    <w:p w:rsidR="003B1388" w:rsidRDefault="003B1388" w:rsidP="007A452A">
      <w:pPr>
        <w:jc w:val="center"/>
        <w:rPr>
          <w:rFonts w:ascii="Arial" w:hAnsi="Arial" w:cs="Arial"/>
          <w:b/>
        </w:rPr>
      </w:pPr>
    </w:p>
    <w:p w:rsidR="00160E49" w:rsidRDefault="00160E49" w:rsidP="007A452A">
      <w:pPr>
        <w:jc w:val="center"/>
        <w:rPr>
          <w:rFonts w:ascii="Arial" w:hAnsi="Arial" w:cs="Arial"/>
          <w:b/>
        </w:rPr>
      </w:pPr>
    </w:p>
    <w:tbl>
      <w:tblPr>
        <w:tblW w:w="15141" w:type="dxa"/>
        <w:tblLayout w:type="fixed"/>
        <w:tblCellMar>
          <w:left w:w="0" w:type="dxa"/>
          <w:right w:w="0" w:type="dxa"/>
        </w:tblCellMar>
        <w:tblLook w:val="0000" w:firstRow="0" w:lastRow="0" w:firstColumn="0" w:lastColumn="0" w:noHBand="0" w:noVBand="0"/>
      </w:tblPr>
      <w:tblGrid>
        <w:gridCol w:w="31"/>
        <w:gridCol w:w="539"/>
        <w:gridCol w:w="61"/>
        <w:gridCol w:w="1869"/>
        <w:gridCol w:w="61"/>
        <w:gridCol w:w="3339"/>
        <w:gridCol w:w="61"/>
        <w:gridCol w:w="729"/>
        <w:gridCol w:w="61"/>
        <w:gridCol w:w="739"/>
        <w:gridCol w:w="61"/>
        <w:gridCol w:w="619"/>
        <w:gridCol w:w="171"/>
        <w:gridCol w:w="1299"/>
        <w:gridCol w:w="61"/>
        <w:gridCol w:w="729"/>
        <w:gridCol w:w="291"/>
        <w:gridCol w:w="340"/>
        <w:gridCol w:w="849"/>
        <w:gridCol w:w="511"/>
        <w:gridCol w:w="959"/>
        <w:gridCol w:w="401"/>
        <w:gridCol w:w="1079"/>
        <w:gridCol w:w="61"/>
        <w:gridCol w:w="220"/>
      </w:tblGrid>
      <w:tr w:rsidR="00C813EC" w:rsidTr="001773EE">
        <w:trPr>
          <w:gridAfter w:val="2"/>
          <w:wAfter w:w="281" w:type="dxa"/>
          <w:trHeight w:hRule="exact" w:val="560"/>
        </w:trPr>
        <w:tc>
          <w:tcPr>
            <w:tcW w:w="14860" w:type="dxa"/>
            <w:gridSpan w:val="23"/>
            <w:tcBorders>
              <w:top w:val="nil"/>
              <w:left w:val="nil"/>
              <w:bottom w:val="nil"/>
              <w:right w:val="nil"/>
            </w:tcBorders>
            <w:vAlign w:val="center"/>
          </w:tcPr>
          <w:p w:rsidR="00C813EC" w:rsidRDefault="00C813EC" w:rsidP="00C813EC">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a) programy, projekty lub zadania związane z programami realizowanymi z udziałem środków, o których mowa w art. 5 ust. 1 pkt 2 i 3, (razem)</w:t>
            </w:r>
          </w:p>
          <w:p w:rsidR="00160E49" w:rsidRDefault="00160E49" w:rsidP="00C813EC">
            <w:pPr>
              <w:widowControl w:val="0"/>
              <w:autoSpaceDE w:val="0"/>
              <w:autoSpaceDN w:val="0"/>
              <w:adjustRightInd w:val="0"/>
              <w:rPr>
                <w:rFonts w:ascii="Arial" w:hAnsi="Arial" w:cs="Arial"/>
                <w:b/>
                <w:bCs/>
                <w:color w:val="000000"/>
                <w:sz w:val="19"/>
                <w:szCs w:val="19"/>
              </w:rPr>
            </w:pPr>
          </w:p>
        </w:tc>
      </w:tr>
      <w:tr w:rsidR="00C813EC" w:rsidTr="001773EE">
        <w:trPr>
          <w:gridAfter w:val="2"/>
          <w:wAfter w:w="281" w:type="dxa"/>
          <w:trHeight w:hRule="exact" w:val="570"/>
        </w:trPr>
        <w:tc>
          <w:tcPr>
            <w:tcW w:w="2500" w:type="dxa"/>
            <w:gridSpan w:val="4"/>
            <w:tcBorders>
              <w:top w:val="nil"/>
              <w:left w:val="nil"/>
              <w:bottom w:val="nil"/>
              <w:right w:val="nil"/>
            </w:tcBorders>
            <w:vAlign w:val="center"/>
          </w:tcPr>
          <w:p w:rsidR="00C813EC" w:rsidRDefault="00C813EC" w:rsidP="00C813EC">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7140" w:type="dxa"/>
            <w:gridSpan w:val="10"/>
            <w:tcBorders>
              <w:top w:val="nil"/>
              <w:left w:val="nil"/>
              <w:bottom w:val="nil"/>
              <w:right w:val="nil"/>
            </w:tcBorders>
          </w:tcPr>
          <w:p w:rsidR="00C813EC" w:rsidRDefault="00C813EC" w:rsidP="00C813EC">
            <w:pPr>
              <w:widowControl w:val="0"/>
              <w:autoSpaceDE w:val="0"/>
              <w:autoSpaceDN w:val="0"/>
              <w:adjustRightInd w:val="0"/>
            </w:pPr>
          </w:p>
        </w:tc>
        <w:tc>
          <w:tcPr>
            <w:tcW w:w="5220" w:type="dxa"/>
            <w:gridSpan w:val="9"/>
            <w:tcBorders>
              <w:top w:val="nil"/>
              <w:left w:val="nil"/>
              <w:bottom w:val="nil"/>
              <w:right w:val="nil"/>
            </w:tcBorders>
            <w:vAlign w:val="center"/>
          </w:tcPr>
          <w:p w:rsidR="00C813EC" w:rsidRDefault="00C813EC" w:rsidP="00C813EC">
            <w:pPr>
              <w:widowControl w:val="0"/>
              <w:autoSpaceDE w:val="0"/>
              <w:autoSpaceDN w:val="0"/>
              <w:adjustRightInd w:val="0"/>
              <w:rPr>
                <w:rFonts w:ascii="Arial" w:hAnsi="Arial" w:cs="Arial"/>
                <w:b/>
                <w:bCs/>
                <w:color w:val="000000"/>
              </w:rPr>
            </w:pPr>
            <w:r>
              <w:rPr>
                <w:rFonts w:ascii="Arial" w:hAnsi="Arial" w:cs="Arial"/>
                <w:b/>
                <w:bCs/>
                <w:color w:val="000000"/>
              </w:rPr>
              <w:t>Łączne nakłady finansowe i limity zobowiązań</w:t>
            </w:r>
          </w:p>
          <w:p w:rsidR="00160E49" w:rsidRDefault="00160E49" w:rsidP="00C813EC">
            <w:pPr>
              <w:widowControl w:val="0"/>
              <w:autoSpaceDE w:val="0"/>
              <w:autoSpaceDN w:val="0"/>
              <w:adjustRightInd w:val="0"/>
              <w:rPr>
                <w:rFonts w:ascii="Arial" w:hAnsi="Arial" w:cs="Arial"/>
                <w:b/>
                <w:bCs/>
                <w:color w:val="000000"/>
              </w:rPr>
            </w:pPr>
          </w:p>
        </w:tc>
      </w:tr>
      <w:tr w:rsidR="00C813EC" w:rsidTr="001773EE">
        <w:trPr>
          <w:gridAfter w:val="2"/>
          <w:wAfter w:w="281" w:type="dxa"/>
          <w:trHeight w:hRule="exact" w:val="450"/>
        </w:trPr>
        <w:tc>
          <w:tcPr>
            <w:tcW w:w="57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4"/>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4"/>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gridSpan w:val="3"/>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Suma limitów wydatków przyjętych w latach WPF</w:t>
            </w:r>
          </w:p>
        </w:tc>
      </w:tr>
      <w:tr w:rsidR="00C813EC" w:rsidTr="001773EE">
        <w:trPr>
          <w:gridAfter w:val="2"/>
          <w:wAfter w:w="281" w:type="dxa"/>
          <w:trHeight w:hRule="exact" w:val="340"/>
        </w:trPr>
        <w:tc>
          <w:tcPr>
            <w:tcW w:w="570"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5330" w:type="dxa"/>
            <w:gridSpan w:val="4"/>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2260" w:type="dxa"/>
            <w:gridSpan w:val="4"/>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1480" w:type="dxa"/>
            <w:gridSpan w:val="3"/>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1470"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c>
          <w:tcPr>
            <w:tcW w:w="1480" w:type="dxa"/>
            <w:gridSpan w:val="2"/>
            <w:vMerge/>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pPr>
          </w:p>
        </w:tc>
      </w:tr>
      <w:tr w:rsidR="00C813EC" w:rsidTr="001773EE">
        <w:trPr>
          <w:gridAfter w:val="2"/>
          <w:wAfter w:w="281" w:type="dxa"/>
          <w:trHeight w:hRule="exact" w:val="368"/>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p>
        </w:tc>
        <w:tc>
          <w:tcPr>
            <w:tcW w:w="9860" w:type="dxa"/>
            <w:gridSpan w:val="1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986 941,00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827 076,51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827 076,57</w:t>
            </w:r>
          </w:p>
        </w:tc>
      </w:tr>
      <w:tr w:rsidR="00C813EC" w:rsidTr="006241E4">
        <w:trPr>
          <w:gridAfter w:val="2"/>
          <w:wAfter w:w="281" w:type="dxa"/>
          <w:trHeight w:hRule="exact" w:val="279"/>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p>
        </w:tc>
        <w:tc>
          <w:tcPr>
            <w:tcW w:w="9860" w:type="dxa"/>
            <w:gridSpan w:val="1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660 030,00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523 200,00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523 200,00</w:t>
            </w:r>
          </w:p>
        </w:tc>
      </w:tr>
      <w:tr w:rsidR="00C813EC" w:rsidTr="001773EE">
        <w:trPr>
          <w:gridAfter w:val="2"/>
          <w:wAfter w:w="281" w:type="dxa"/>
          <w:trHeight w:hRule="exact" w:val="77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1.[b]</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Indywidualizacja </w:t>
            </w:r>
            <w:r w:rsidR="001773EE">
              <w:rPr>
                <w:rFonts w:ascii="Arial" w:hAnsi="Arial" w:cs="Arial"/>
                <w:color w:val="000000"/>
                <w:sz w:val="16"/>
                <w:szCs w:val="16"/>
              </w:rPr>
              <w:t>nauczania</w:t>
            </w:r>
            <w:r>
              <w:rPr>
                <w:rFonts w:ascii="Arial" w:hAnsi="Arial" w:cs="Arial"/>
                <w:color w:val="000000"/>
                <w:sz w:val="16"/>
                <w:szCs w:val="16"/>
              </w:rPr>
              <w:t xml:space="preserve"> i wychowania w klasach I-III szkół podstawowych w Gminie Lelis - żaczek z Gminy Lelis uczy się bawiąc - wyrównywanie szans edukacyjnych i zapewnienie wysokiej jakości usług edukacyjnych świadczonych w systemie oświaty</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 Administracji Szkół i Przedszkoli</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260 030,00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123 200,00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123 200,00</w:t>
            </w:r>
          </w:p>
        </w:tc>
      </w:tr>
      <w:tr w:rsidR="00C813EC" w:rsidTr="001773EE">
        <w:trPr>
          <w:gridAfter w:val="2"/>
          <w:wAfter w:w="281" w:type="dxa"/>
          <w:trHeight w:hRule="exact" w:val="77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2.[b]</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Zmniejszenie nierówności w stopniu upowszechniania edukacji przedszkolnej - gminne przedszkole w Lelisie - Wyrównanie szans edukacyjnych </w:t>
            </w:r>
            <w:r w:rsidR="001773EE">
              <w:rPr>
                <w:rFonts w:ascii="Arial" w:hAnsi="Arial" w:cs="Arial"/>
                <w:color w:val="000000"/>
                <w:sz w:val="16"/>
                <w:szCs w:val="16"/>
              </w:rPr>
              <w:t>dziewcząt</w:t>
            </w:r>
            <w:r>
              <w:rPr>
                <w:rFonts w:ascii="Arial" w:hAnsi="Arial" w:cs="Arial"/>
                <w:color w:val="000000"/>
                <w:sz w:val="16"/>
                <w:szCs w:val="16"/>
              </w:rPr>
              <w:t xml:space="preserve"> i chłopców w wieku od 3 do 5 lat z terenu </w:t>
            </w:r>
            <w:proofErr w:type="spellStart"/>
            <w:r>
              <w:rPr>
                <w:rFonts w:ascii="Arial" w:hAnsi="Arial" w:cs="Arial"/>
                <w:color w:val="000000"/>
                <w:sz w:val="16"/>
                <w:szCs w:val="16"/>
              </w:rPr>
              <w:t>gm.Lelis</w:t>
            </w:r>
            <w:proofErr w:type="spellEnd"/>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 Administracji Szkół i Przedszkoli</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400 000,00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400 000,00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400 000,00</w:t>
            </w:r>
          </w:p>
        </w:tc>
      </w:tr>
      <w:tr w:rsidR="00C813EC" w:rsidTr="001773EE">
        <w:trPr>
          <w:gridAfter w:val="2"/>
          <w:wAfter w:w="281" w:type="dxa"/>
          <w:trHeight w:hRule="exact" w:val="261"/>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b/>
                <w:bCs/>
                <w:color w:val="000000"/>
                <w:sz w:val="16"/>
                <w:szCs w:val="16"/>
              </w:rPr>
            </w:pPr>
          </w:p>
        </w:tc>
        <w:tc>
          <w:tcPr>
            <w:tcW w:w="9860" w:type="dxa"/>
            <w:gridSpan w:val="1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326 911,00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303 876,51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303 876,57</w:t>
            </w:r>
          </w:p>
        </w:tc>
      </w:tr>
      <w:tr w:rsidR="00C813EC" w:rsidTr="001773EE">
        <w:trPr>
          <w:gridAfter w:val="2"/>
          <w:wAfter w:w="281" w:type="dxa"/>
          <w:trHeight w:hRule="exact" w:val="96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placów zabaw w miejscowościach Lelis i Nasiadki oraz instalacja sieci </w:t>
            </w:r>
            <w:proofErr w:type="spellStart"/>
            <w:r>
              <w:rPr>
                <w:rFonts w:ascii="Arial" w:hAnsi="Arial" w:cs="Arial"/>
                <w:color w:val="000000"/>
                <w:sz w:val="16"/>
                <w:szCs w:val="16"/>
              </w:rPr>
              <w:t>c.o.w</w:t>
            </w:r>
            <w:proofErr w:type="spellEnd"/>
            <w:r>
              <w:rPr>
                <w:rFonts w:ascii="Arial" w:hAnsi="Arial" w:cs="Arial"/>
                <w:color w:val="000000"/>
                <w:sz w:val="16"/>
                <w:szCs w:val="16"/>
              </w:rPr>
              <w:t xml:space="preserve"> Ośrodku Dziedzictwa Kulturowego Kurpiów w Lelisie - Aktywizacja społeczności wiejskiej gminy Lelis, pobudzenie tożsamości kurpiowskiej społeczności oraz zachowanie tradycji, kultury i historii  kurpiowskiej</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242 150,00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233 650,00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233 650,00</w:t>
            </w:r>
          </w:p>
        </w:tc>
      </w:tr>
      <w:tr w:rsidR="00C813EC" w:rsidTr="001773EE">
        <w:trPr>
          <w:gridAfter w:val="2"/>
          <w:wAfter w:w="281" w:type="dxa"/>
          <w:trHeight w:hRule="exact" w:val="115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Dotacja na projekt "Przyspieszenie </w:t>
            </w:r>
            <w:r w:rsidR="001773EE">
              <w:rPr>
                <w:rFonts w:ascii="Arial" w:hAnsi="Arial" w:cs="Arial"/>
                <w:color w:val="000000"/>
                <w:sz w:val="16"/>
                <w:szCs w:val="16"/>
              </w:rPr>
              <w:t>konkurencyjności</w:t>
            </w:r>
            <w:r>
              <w:rPr>
                <w:rFonts w:ascii="Arial" w:hAnsi="Arial" w:cs="Arial"/>
                <w:color w:val="000000"/>
                <w:sz w:val="16"/>
                <w:szCs w:val="16"/>
              </w:rPr>
              <w:t xml:space="preserve"> województwa mazowieckiego, przez budowanie społeczeństwa informacyjnego i gospodarki opartej na wiedzy poprzez stworzenie zintegrowanych baz wiedzy o Mazowszu" - Poprawa funkcjonowania jednostek samorządu terytorialnego, zwiększenie efektywności wykorzystania zasobów informacyjnych, usprawnienie obsługi obywateli</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13 440,00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7 682,60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7 682,66</w:t>
            </w:r>
          </w:p>
        </w:tc>
      </w:tr>
      <w:tr w:rsidR="00C813EC" w:rsidTr="001773EE">
        <w:trPr>
          <w:gridAfter w:val="2"/>
          <w:wAfter w:w="281" w:type="dxa"/>
          <w:trHeight w:hRule="exact" w:val="115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w:t>
            </w:r>
            <w:r w:rsidR="000C4C2D">
              <w:rPr>
                <w:rFonts w:ascii="Arial" w:hAnsi="Arial" w:cs="Arial"/>
                <w:color w:val="000000"/>
                <w:sz w:val="16"/>
                <w:szCs w:val="16"/>
              </w:rPr>
              <w:t xml:space="preserve"> </w:t>
            </w:r>
            <w:r>
              <w:rPr>
                <w:rFonts w:ascii="Arial" w:hAnsi="Arial" w:cs="Arial"/>
                <w:color w:val="000000"/>
                <w:sz w:val="16"/>
                <w:szCs w:val="16"/>
              </w:rPr>
              <w:t>Rozwój elektronicznej administracji w samorządach województwa mazowieckiego wspomagającej niwelowanie dwudzielności potencjału województwa" - Poprawa funkcjonowania jednostek samorządu terytorialnego, zwiększenie efektywności wykorzystania zasobów informacyjnych, usprawnienie obsługi obywateli i przedsiębiorców</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25 410,00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21 632,91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21 632,91</w:t>
            </w:r>
          </w:p>
        </w:tc>
      </w:tr>
      <w:tr w:rsidR="00C813EC" w:rsidTr="001773EE">
        <w:trPr>
          <w:gridAfter w:val="2"/>
          <w:wAfter w:w="281" w:type="dxa"/>
          <w:trHeight w:hRule="exact" w:val="1150"/>
        </w:trPr>
        <w:tc>
          <w:tcPr>
            <w:tcW w:w="5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Remont  pomieszczeń  remizy OSP na potrzeby istniejącej świetlicy wiejskiej wraz z wymiana stolarki okiennej i drzwiowej w  miejscowości  Lelis w gminie Lelis w okresie 5 miesięcy aspektem aktywizującym oraz organizacyjnym mieszkańców - Pobudzenie tożsamości kurpiowskiej społeczności oraz podniesienie standardów życia na obszarach wiejskich </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center"/>
              <w:rPr>
                <w:rFonts w:ascii="Arial" w:hAnsi="Arial" w:cs="Arial"/>
                <w:color w:val="000000"/>
                <w:sz w:val="16"/>
                <w:szCs w:val="16"/>
              </w:rPr>
            </w:pPr>
          </w:p>
        </w:tc>
        <w:tc>
          <w:tcPr>
            <w:tcW w:w="2260" w:type="dxa"/>
            <w:gridSpan w:val="4"/>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gridSpan w:val="3"/>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45 911,00</w:t>
            </w:r>
          </w:p>
        </w:tc>
        <w:tc>
          <w:tcPr>
            <w:tcW w:w="147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40 911,00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C813EC" w:rsidRDefault="00C813EC" w:rsidP="00C813EC">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40 911,00</w:t>
            </w:r>
          </w:p>
        </w:tc>
      </w:tr>
      <w:tr w:rsidR="001773EE" w:rsidTr="001773EE">
        <w:trPr>
          <w:trHeight w:hRule="exact" w:val="34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2530" w:type="dxa"/>
            <w:gridSpan w:val="4"/>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12"/>
            <w:tcBorders>
              <w:top w:val="nil"/>
              <w:left w:val="nil"/>
              <w:bottom w:val="nil"/>
              <w:right w:val="nil"/>
            </w:tcBorders>
          </w:tcPr>
          <w:p w:rsidR="001773EE" w:rsidRDefault="001773EE" w:rsidP="001773EE">
            <w:pPr>
              <w:widowControl w:val="0"/>
              <w:autoSpaceDE w:val="0"/>
              <w:autoSpaceDN w:val="0"/>
              <w:adjustRightInd w:val="0"/>
            </w:pPr>
          </w:p>
        </w:tc>
        <w:tc>
          <w:tcPr>
            <w:tcW w:w="4200" w:type="dxa"/>
            <w:gridSpan w:val="7"/>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1773EE" w:rsidRDefault="001773EE" w:rsidP="001773EE">
            <w:pPr>
              <w:widowControl w:val="0"/>
              <w:autoSpaceDE w:val="0"/>
              <w:autoSpaceDN w:val="0"/>
              <w:adjustRightInd w:val="0"/>
            </w:pPr>
          </w:p>
        </w:tc>
      </w:tr>
      <w:tr w:rsidR="001773EE" w:rsidTr="001773EE">
        <w:trPr>
          <w:trHeight w:hRule="exact" w:val="4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4"/>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2013</w:t>
            </w:r>
          </w:p>
        </w:tc>
        <w:tc>
          <w:tcPr>
            <w:tcW w:w="1360" w:type="dxa"/>
            <w:gridSpan w:val="3"/>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2014</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2015</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2016</w:t>
            </w:r>
          </w:p>
        </w:tc>
        <w:tc>
          <w:tcPr>
            <w:tcW w:w="1360" w:type="dxa"/>
            <w:gridSpan w:val="3"/>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r>
      <w:tr w:rsidR="001773EE" w:rsidTr="001773EE">
        <w:trPr>
          <w:trHeight w:hRule="exact" w:val="34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5330" w:type="dxa"/>
            <w:gridSpan w:val="4"/>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3"/>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3"/>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r>
      <w:tr w:rsidR="001773EE" w:rsidTr="001773EE">
        <w:trPr>
          <w:trHeight w:hRule="exact" w:val="4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10"/>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516 549,58</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214 026,99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96 500,00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1773EE">
        <w:trPr>
          <w:trHeight w:hRule="exact" w:val="4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10"/>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233 700,00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96 500,00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1773EE">
        <w:trPr>
          <w:trHeight w:hRule="exact" w:val="77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1.[b]</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Indywidualizacja nauczania i wychowania w klasach I-III szkół podstawowych w Gminie Lelis - żaczek z Gminy Lelis uczy się bawiąc - wyrównywanie szans edukacyjnych i zapewnienie wysokiej jakości usług edukacyjnych świadczonych w systemie oświaty</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123 200,00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77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2.[b]</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Zmniejszenie nierówności w stopniu upowszechniania edukacji przedszkolnej - gminne przedszkole w Lelisie - Wyrównanie szans edukacyjnych dziewcząt i chłopców w wieku od 3 do 5 lat z terenu </w:t>
            </w:r>
            <w:proofErr w:type="spellStart"/>
            <w:r>
              <w:rPr>
                <w:rFonts w:ascii="Arial" w:hAnsi="Arial" w:cs="Arial"/>
                <w:color w:val="000000"/>
                <w:sz w:val="16"/>
                <w:szCs w:val="16"/>
              </w:rPr>
              <w:t>gm.Lelis</w:t>
            </w:r>
            <w:proofErr w:type="spellEnd"/>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110 500,00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193 000,00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96 500,00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10"/>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282 849,58</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21 026,99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1773EE">
        <w:trPr>
          <w:trHeight w:hRule="exact" w:val="96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placów zabaw w miejscowościach Lelis i Nasiadki oraz instalacja sieci </w:t>
            </w:r>
            <w:proofErr w:type="spellStart"/>
            <w:r>
              <w:rPr>
                <w:rFonts w:ascii="Arial" w:hAnsi="Arial" w:cs="Arial"/>
                <w:color w:val="000000"/>
                <w:sz w:val="16"/>
                <w:szCs w:val="16"/>
              </w:rPr>
              <w:t>c.o.w</w:t>
            </w:r>
            <w:proofErr w:type="spellEnd"/>
            <w:r>
              <w:rPr>
                <w:rFonts w:ascii="Arial" w:hAnsi="Arial" w:cs="Arial"/>
                <w:color w:val="000000"/>
                <w:sz w:val="16"/>
                <w:szCs w:val="16"/>
              </w:rPr>
              <w:t xml:space="preserve"> Ośrodku Dziedzictwa Kulturowego Kurpiów w Lelisie - Aktywizacja społeczności wiejskiej gminy Lelis, pobudzenie tożsamości kurpiowskiej społeczności oraz zachowanie tradycji, kultury i historii  kurpiowskiej</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233 650,00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11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 "Przyspieszenie konkurencyjności województwa mazowieckiego, przez budowanie społeczeństwa informacyjnego i gospodarki opartej na wiedzy poprzez stworzenie zintegrowanych baz wiedzy o Mazowszu" - Poprawa funkcjonowania jednostek samorządu terytorialnego, zwiększenie efektywności wykorzystania zasobów informacyjnych, usprawnienie obsługi obywateli</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1 495,72</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6 186,94</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11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w:t>
            </w:r>
            <w:r w:rsidR="000C4C2D">
              <w:rPr>
                <w:rFonts w:ascii="Arial" w:hAnsi="Arial" w:cs="Arial"/>
                <w:color w:val="000000"/>
                <w:sz w:val="16"/>
                <w:szCs w:val="16"/>
              </w:rPr>
              <w:t xml:space="preserve"> </w:t>
            </w:r>
            <w:r>
              <w:rPr>
                <w:rFonts w:ascii="Arial" w:hAnsi="Arial" w:cs="Arial"/>
                <w:color w:val="000000"/>
                <w:sz w:val="16"/>
                <w:szCs w:val="16"/>
              </w:rPr>
              <w:t>Rozwój elektronicznej administracji w samorządach województwa mazowieckiego wspomagającej niwelowanie dwudzielności potencjału województwa" - Poprawa funkcjonowania jednostek samorządu terytorialnego, zwiększenie efektywności wykorzystania zasobów informacyjnych, usprawnienie obsługi obywateli i przedsiębiorców</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6 792,86</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14 840,05</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1150"/>
        </w:trPr>
        <w:tc>
          <w:tcPr>
            <w:tcW w:w="31" w:type="dxa"/>
            <w:tcBorders>
              <w:top w:val="nil"/>
              <w:left w:val="nil"/>
              <w:bottom w:val="nil"/>
              <w:right w:val="nil"/>
            </w:tcBorders>
          </w:tcPr>
          <w:p w:rsidR="001773EE" w:rsidRDefault="001773EE" w:rsidP="001773EE">
            <w:pPr>
              <w:widowControl w:val="0"/>
              <w:autoSpaceDE w:val="0"/>
              <w:autoSpaceDN w:val="0"/>
              <w:adjustRightInd w:val="0"/>
            </w:pPr>
          </w:p>
        </w:tc>
        <w:tc>
          <w:tcPr>
            <w:tcW w:w="6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4"/>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Remont  pomieszczeń  remizy OSP na potrzeby istniejącej świetlicy wiejskiej wraz z wymiana stolarki okiennej i drzwiowej w  miejscowości  Lelis w gminie Lelis w okresie 5 miesięcy aspektem aktywizującym oraz organizacyjnym mieszkańców - Pobudzenie tożsamości kurpiowskiej społeczności oraz podniesienie standardów życia na obszarach wiejskich </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40 911,00</w:t>
            </w: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3"/>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bl>
    <w:p w:rsidR="00C813EC" w:rsidRDefault="00C813EC" w:rsidP="007A452A">
      <w:pPr>
        <w:jc w:val="center"/>
        <w:rPr>
          <w:rFonts w:ascii="Arial" w:hAnsi="Arial" w:cs="Arial"/>
          <w:b/>
        </w:rPr>
      </w:pPr>
    </w:p>
    <w:p w:rsidR="00160E49" w:rsidRDefault="00160E49" w:rsidP="007A452A">
      <w:pPr>
        <w:jc w:val="center"/>
        <w:rPr>
          <w:rFonts w:ascii="Arial" w:hAnsi="Arial" w:cs="Arial"/>
          <w:b/>
        </w:rPr>
      </w:pPr>
    </w:p>
    <w:p w:rsidR="001773EE" w:rsidRDefault="001773EE" w:rsidP="007A452A">
      <w:pPr>
        <w:jc w:val="center"/>
        <w:rPr>
          <w:rFonts w:ascii="Arial" w:hAnsi="Arial" w:cs="Arial"/>
          <w:b/>
        </w:rPr>
      </w:pPr>
    </w:p>
    <w:tbl>
      <w:tblPr>
        <w:tblW w:w="14910" w:type="dxa"/>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680"/>
        <w:gridCol w:w="1470"/>
        <w:gridCol w:w="790"/>
        <w:gridCol w:w="1480"/>
        <w:gridCol w:w="1470"/>
        <w:gridCol w:w="1480"/>
      </w:tblGrid>
      <w:tr w:rsidR="001773EE" w:rsidTr="001773EE">
        <w:trPr>
          <w:trHeight w:hRule="exact" w:val="560"/>
        </w:trPr>
        <w:tc>
          <w:tcPr>
            <w:tcW w:w="50" w:type="dxa"/>
            <w:tcBorders>
              <w:top w:val="nil"/>
              <w:left w:val="nil"/>
              <w:bottom w:val="nil"/>
              <w:right w:val="nil"/>
            </w:tcBorders>
          </w:tcPr>
          <w:p w:rsidR="001773EE" w:rsidRDefault="001773EE" w:rsidP="001773EE">
            <w:pPr>
              <w:spacing w:after="200" w:line="276" w:lineRule="auto"/>
            </w:pPr>
          </w:p>
        </w:tc>
        <w:tc>
          <w:tcPr>
            <w:tcW w:w="14860" w:type="dxa"/>
            <w:gridSpan w:val="11"/>
            <w:tcBorders>
              <w:top w:val="nil"/>
              <w:left w:val="nil"/>
              <w:bottom w:val="nil"/>
              <w:right w:val="nil"/>
            </w:tcBorders>
            <w:vAlign w:val="center"/>
          </w:tcPr>
          <w:p w:rsidR="001773EE" w:rsidRDefault="003B1388" w:rsidP="001773EE">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b</w:t>
            </w:r>
            <w:r w:rsidR="001773EE">
              <w:rPr>
                <w:rFonts w:ascii="Arial" w:hAnsi="Arial" w:cs="Arial"/>
                <w:b/>
                <w:bCs/>
                <w:color w:val="000000"/>
                <w:sz w:val="19"/>
                <w:szCs w:val="19"/>
              </w:rPr>
              <w:t xml:space="preserve">) programy, projekty lub zadania pozostałe (inne niż wymienione w </w:t>
            </w:r>
            <w:proofErr w:type="spellStart"/>
            <w:r w:rsidR="001773EE">
              <w:rPr>
                <w:rFonts w:ascii="Arial" w:hAnsi="Arial" w:cs="Arial"/>
                <w:b/>
                <w:bCs/>
                <w:color w:val="000000"/>
                <w:sz w:val="19"/>
                <w:szCs w:val="19"/>
              </w:rPr>
              <w:t>lit.a</w:t>
            </w:r>
            <w:proofErr w:type="spellEnd"/>
            <w:r w:rsidR="001773EE">
              <w:rPr>
                <w:rFonts w:ascii="Arial" w:hAnsi="Arial" w:cs="Arial"/>
                <w:b/>
                <w:bCs/>
                <w:color w:val="000000"/>
                <w:sz w:val="19"/>
                <w:szCs w:val="19"/>
              </w:rPr>
              <w:t xml:space="preserve"> i b) (razem)</w:t>
            </w:r>
            <w:bookmarkStart w:id="0" w:name="_GoBack"/>
            <w:bookmarkEnd w:id="0"/>
          </w:p>
        </w:tc>
      </w:tr>
      <w:tr w:rsidR="001773EE" w:rsidTr="001773EE">
        <w:trPr>
          <w:trHeight w:hRule="exact" w:val="5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2500" w:type="dxa"/>
            <w:gridSpan w:val="2"/>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7140" w:type="dxa"/>
            <w:gridSpan w:val="5"/>
            <w:tcBorders>
              <w:top w:val="nil"/>
              <w:left w:val="nil"/>
              <w:bottom w:val="nil"/>
              <w:right w:val="nil"/>
            </w:tcBorders>
          </w:tcPr>
          <w:p w:rsidR="001773EE" w:rsidRDefault="001773EE" w:rsidP="001773EE">
            <w:pPr>
              <w:widowControl w:val="0"/>
              <w:autoSpaceDE w:val="0"/>
              <w:autoSpaceDN w:val="0"/>
              <w:adjustRightInd w:val="0"/>
            </w:pPr>
          </w:p>
        </w:tc>
        <w:tc>
          <w:tcPr>
            <w:tcW w:w="5220" w:type="dxa"/>
            <w:gridSpan w:val="4"/>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Łączne nakłady finansowe i limity zobowiązań</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Suma limitów wydatków przyjętych w latach WPF</w:t>
            </w:r>
          </w:p>
        </w:tc>
      </w:tr>
      <w:tr w:rsidR="001773EE" w:rsidTr="001773EE">
        <w:trPr>
          <w:trHeight w:hRule="exact" w:val="279"/>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22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r>
      <w:tr w:rsidR="001773EE" w:rsidTr="001773EE">
        <w:trPr>
          <w:trHeight w:hRule="exact" w:val="283"/>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21 435 238,55</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3D63FB"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19 15</w:t>
            </w:r>
            <w:r w:rsidR="001773EE">
              <w:rPr>
                <w:rFonts w:ascii="Arial" w:hAnsi="Arial" w:cs="Arial"/>
                <w:b/>
                <w:bCs/>
                <w:color w:val="000000"/>
                <w:sz w:val="16"/>
                <w:szCs w:val="16"/>
              </w:rPr>
              <w:t>1 614,00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19 151 614,00</w:t>
            </w:r>
          </w:p>
        </w:tc>
      </w:tr>
      <w:tr w:rsidR="001773EE" w:rsidTr="001773EE">
        <w:trPr>
          <w:trHeight w:hRule="exact" w:val="275"/>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1773EE" w:rsidTr="001773EE">
        <w:trPr>
          <w:trHeight w:hRule="exact" w:val="279"/>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21 435 238,55</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3D63FB"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19 15</w:t>
            </w:r>
            <w:r w:rsidR="001773EE">
              <w:rPr>
                <w:rFonts w:ascii="Arial" w:hAnsi="Arial" w:cs="Arial"/>
                <w:b/>
                <w:bCs/>
                <w:color w:val="000000"/>
                <w:sz w:val="16"/>
                <w:szCs w:val="16"/>
              </w:rPr>
              <w:t>1 614,00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19 151 614,00</w:t>
            </w:r>
          </w:p>
        </w:tc>
      </w:tr>
      <w:tr w:rsidR="001773EE" w:rsidTr="001773EE">
        <w:trPr>
          <w:trHeight w:hRule="exact" w:val="707"/>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Boiska Wiejskiego w Długim Kącie  - Pobudzenie tożsamości kurpiowskiej społeczności oraz podniesienie standardów życia na obszarach wiejskich Długiego </w:t>
            </w:r>
            <w:proofErr w:type="spellStart"/>
            <w:r>
              <w:rPr>
                <w:rFonts w:ascii="Arial" w:hAnsi="Arial" w:cs="Arial"/>
                <w:color w:val="000000"/>
                <w:sz w:val="16"/>
                <w:szCs w:val="16"/>
              </w:rPr>
              <w:t>Kątu</w:t>
            </w:r>
            <w:proofErr w:type="spellEnd"/>
            <w:r>
              <w:rPr>
                <w:rFonts w:ascii="Arial" w:hAnsi="Arial" w:cs="Arial"/>
                <w:color w:val="000000"/>
                <w:sz w:val="16"/>
                <w:szCs w:val="16"/>
              </w:rPr>
              <w:t xml:space="preserve"> poprzez budowę boiska sportowego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r>
      <w:tr w:rsidR="001773EE" w:rsidTr="001773EE">
        <w:trPr>
          <w:trHeight w:hRule="exact" w:val="96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boiska wiejskiego w </w:t>
            </w:r>
            <w:proofErr w:type="spellStart"/>
            <w:r>
              <w:rPr>
                <w:rFonts w:ascii="Arial" w:hAnsi="Arial" w:cs="Arial"/>
                <w:color w:val="000000"/>
                <w:sz w:val="16"/>
                <w:szCs w:val="16"/>
              </w:rPr>
              <w:t>msc</w:t>
            </w:r>
            <w:proofErr w:type="spellEnd"/>
            <w:r>
              <w:rPr>
                <w:rFonts w:ascii="Arial" w:hAnsi="Arial" w:cs="Arial"/>
                <w:color w:val="000000"/>
                <w:sz w:val="16"/>
                <w:szCs w:val="16"/>
              </w:rPr>
              <w:t>. Gibałka  - Pobudzenie tożsamości kurpiowskiej społeczności oraz podniesienie standardów życia na obszarach wiejskich gminy Lelis poprzez zaspokojenie potrzeb społecznych, sportowych, rekreacyjnych, kulturowych oraz aktywizacyjnych</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375 000,00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345 000,00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345 000,00</w:t>
            </w:r>
          </w:p>
        </w:tc>
      </w:tr>
      <w:tr w:rsidR="001773EE" w:rsidTr="001773EE">
        <w:trPr>
          <w:trHeight w:hRule="exact" w:val="7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ciśnieniowej we wsiach: Obierwia , Olszewka, Szwendrowy Most i Szafarnia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wraz z przyłączami w </w:t>
            </w:r>
            <w:proofErr w:type="spellStart"/>
            <w:r>
              <w:rPr>
                <w:rFonts w:ascii="Arial" w:hAnsi="Arial" w:cs="Arial"/>
                <w:color w:val="000000"/>
                <w:sz w:val="16"/>
                <w:szCs w:val="16"/>
              </w:rPr>
              <w:t>msc.Długi</w:t>
            </w:r>
            <w:proofErr w:type="spellEnd"/>
            <w:r>
              <w:rPr>
                <w:rFonts w:ascii="Arial" w:hAnsi="Arial" w:cs="Arial"/>
                <w:color w:val="000000"/>
                <w:sz w:val="16"/>
                <w:szCs w:val="16"/>
              </w:rPr>
              <w:t xml:space="preserve"> Kąt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placu zabaw wraz z montażem urządzeń małej architektury w miejscowości Łęg Przedmiejski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Wdrażanie lokalnych strategii rozwoju</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r>
      <w:tr w:rsidR="001773EE" w:rsidTr="001773EE">
        <w:trPr>
          <w:trHeight w:hRule="exact" w:val="574"/>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Budowa sieci kanalizacyjnej w Łęgu Starościńskim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Modernizacja oświetlenia ulicznego - Poprawa infrastruktury technicznej gminy</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39 000,00</w:t>
            </w:r>
          </w:p>
        </w:tc>
      </w:tr>
      <w:tr w:rsidR="001773EE" w:rsidTr="001773EE">
        <w:trPr>
          <w:trHeight w:hRule="exact" w:val="7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Poprawa bezpieczeństwa komunikacyjnego gminy Lelis poprzez przebudowę dróg gminnych nr 250620W i 250629W zlokalizowanych pomiędzy droga powiatową Ostrołęka - Łęg - Kurpiewskie a droga powiatową Ostrołęka - Durlasy - Lelis - Poprawa bezpieczeństwa</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3 500 000,00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3D63FB"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3 50</w:t>
            </w:r>
            <w:r w:rsidR="001773EE">
              <w:rPr>
                <w:rFonts w:ascii="Arial" w:hAnsi="Arial" w:cs="Arial"/>
                <w:color w:val="000000"/>
                <w:sz w:val="16"/>
                <w:szCs w:val="16"/>
              </w:rPr>
              <w:t>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B5539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230 </w:t>
            </w:r>
            <w:r w:rsidR="001773EE">
              <w:rPr>
                <w:rFonts w:ascii="Arial" w:hAnsi="Arial" w:cs="Arial"/>
                <w:color w:val="000000"/>
                <w:sz w:val="16"/>
                <w:szCs w:val="16"/>
              </w:rPr>
              <w:t> 000,00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Przebudowa drogi gminnej w </w:t>
            </w:r>
            <w:proofErr w:type="spellStart"/>
            <w:r>
              <w:rPr>
                <w:rFonts w:ascii="Arial" w:hAnsi="Arial" w:cs="Arial"/>
                <w:color w:val="000000"/>
                <w:sz w:val="16"/>
                <w:szCs w:val="16"/>
              </w:rPr>
              <w:t>msc</w:t>
            </w:r>
            <w:proofErr w:type="spellEnd"/>
            <w:r>
              <w:rPr>
                <w:rFonts w:ascii="Arial" w:hAnsi="Arial" w:cs="Arial"/>
                <w:color w:val="000000"/>
                <w:sz w:val="16"/>
                <w:szCs w:val="16"/>
              </w:rPr>
              <w:t>. Szafarnia kol. Ciernie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675 000,00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Ośrodka Etnograficznego w Lelisie - Ułatwienie dostępu mieszkańcom do dziedzictwa narodowego Kurpiów</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Suma limitów wydatków </w:t>
            </w:r>
            <w:r>
              <w:rPr>
                <w:rFonts w:ascii="Arial" w:hAnsi="Arial" w:cs="Arial"/>
                <w:b/>
                <w:bCs/>
                <w:color w:val="000000"/>
                <w:sz w:val="16"/>
                <w:szCs w:val="16"/>
              </w:rPr>
              <w:lastRenderedPageBreak/>
              <w:t>przyjętych w latach WPF</w:t>
            </w:r>
          </w:p>
        </w:tc>
      </w:tr>
      <w:tr w:rsidR="001773EE" w:rsidTr="001773EE">
        <w:trPr>
          <w:trHeight w:hRule="exact" w:val="34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22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sz w:val="8"/>
                <w:szCs w:val="8"/>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ulic w Lelisie :Wesołej, Srebrnej, Leśnej i Łąkowej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470 000,00</w:t>
            </w:r>
          </w:p>
        </w:tc>
      </w:tr>
      <w:tr w:rsidR="001773EE" w:rsidTr="001773EE">
        <w:trPr>
          <w:trHeight w:hRule="exact" w:val="96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Rozbudowa oczyszczalni ścieków w Lelisie oraz budowa kanalizacji sanitarnej ciśnieniowej we wsiach: Nasiadki ,Szafarczyska,2 kolonie wsi Lelis,1 kolonia wsi Durlasy oraz rozbudowa sieci wodociągowej we wsi Durlasy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3 550 000,00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2 521 280,00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2 521 280,00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Stacji Uzdatniania Wody w Lelisie - Poprawa warunków życia mieszkańców</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730 000,00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Szkoły Podstawowej w Białobieli - Pobudzenie tożsamości kurpiowskiej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 Administracji Szkół i Przedszkoli</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1 301 900,00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1 253 000,00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1 253 000,00</w:t>
            </w: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Techniczny sposób zamknięcia i rekultywacji składowiska odpadów innych niż niebezpieczne i obojętne w m. Gibałka, </w:t>
            </w:r>
            <w:proofErr w:type="spellStart"/>
            <w:r>
              <w:rPr>
                <w:rFonts w:ascii="Arial" w:hAnsi="Arial" w:cs="Arial"/>
                <w:color w:val="000000"/>
                <w:sz w:val="16"/>
                <w:szCs w:val="16"/>
              </w:rPr>
              <w:t>gm.Lelis</w:t>
            </w:r>
            <w:proofErr w:type="spellEnd"/>
            <w:r>
              <w:rPr>
                <w:rFonts w:ascii="Arial" w:hAnsi="Arial" w:cs="Arial"/>
                <w:color w:val="000000"/>
                <w:sz w:val="16"/>
                <w:szCs w:val="16"/>
              </w:rPr>
              <w:t>, pow. ostrołęcki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224 084,55</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19 620,00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19 620,00</w:t>
            </w: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Termomodernizacja budynku Szkoły Podstawowej w Obierwi - Ochrona środowiska naturalnego i wykorzystywanie odnawialnych źródeł energii</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 Administracji Szkół i Przedszkoli</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1 258 500,00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1 212 960,00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1 212 960,00</w:t>
            </w: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Współfinansowanie budowy i eksploatacji stacji segregacji odpadów komunalnych miast Ostrołęki i gmin powiatu ostrołęckiego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r>
    </w:tbl>
    <w:p w:rsidR="00C813EC" w:rsidRDefault="00C813EC"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60E49" w:rsidRDefault="00160E49" w:rsidP="00C813EC">
      <w:pPr>
        <w:rPr>
          <w:rFonts w:ascii="Arial" w:hAnsi="Arial" w:cs="Arial"/>
          <w:b/>
        </w:rPr>
      </w:pPr>
    </w:p>
    <w:p w:rsidR="00160E49" w:rsidRDefault="00160E49" w:rsidP="00C813EC">
      <w:pPr>
        <w:rPr>
          <w:rFonts w:ascii="Arial" w:hAnsi="Arial" w:cs="Arial"/>
          <w:b/>
        </w:rPr>
      </w:pPr>
    </w:p>
    <w:p w:rsidR="00160E49" w:rsidRDefault="00160E49" w:rsidP="00C813EC">
      <w:pPr>
        <w:rPr>
          <w:rFonts w:ascii="Arial" w:hAnsi="Arial" w:cs="Arial"/>
          <w:b/>
        </w:rPr>
      </w:pPr>
    </w:p>
    <w:p w:rsidR="00160E49" w:rsidRDefault="00160E49"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p w:rsidR="001773EE" w:rsidRDefault="001773EE" w:rsidP="00C813EC">
      <w:pPr>
        <w:rPr>
          <w:rFonts w:ascii="Arial" w:hAnsi="Arial" w:cs="Arial"/>
          <w:b/>
        </w:rPr>
      </w:pPr>
    </w:p>
    <w:tbl>
      <w:tblPr>
        <w:tblW w:w="15130" w:type="dxa"/>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1773EE" w:rsidTr="001773EE">
        <w:trPr>
          <w:trHeight w:hRule="exact" w:val="56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14860" w:type="dxa"/>
            <w:gridSpan w:val="12"/>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c>
          <w:tcPr>
            <w:tcW w:w="220" w:type="dxa"/>
            <w:tcBorders>
              <w:top w:val="nil"/>
              <w:left w:val="nil"/>
              <w:bottom w:val="nil"/>
              <w:right w:val="nil"/>
            </w:tcBorders>
          </w:tcPr>
          <w:p w:rsidR="001773EE" w:rsidRDefault="001773EE" w:rsidP="001773EE">
            <w:pPr>
              <w:widowControl w:val="0"/>
              <w:autoSpaceDE w:val="0"/>
              <w:autoSpaceDN w:val="0"/>
              <w:adjustRightInd w:val="0"/>
            </w:pPr>
          </w:p>
        </w:tc>
      </w:tr>
      <w:tr w:rsidR="001773EE" w:rsidTr="001773EE">
        <w:trPr>
          <w:trHeight w:hRule="exact" w:val="34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2500" w:type="dxa"/>
            <w:gridSpan w:val="2"/>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1773EE" w:rsidRDefault="001773EE" w:rsidP="001773EE">
            <w:pPr>
              <w:widowControl w:val="0"/>
              <w:autoSpaceDE w:val="0"/>
              <w:autoSpaceDN w:val="0"/>
              <w:adjustRightInd w:val="0"/>
            </w:pPr>
          </w:p>
        </w:tc>
        <w:tc>
          <w:tcPr>
            <w:tcW w:w="4200" w:type="dxa"/>
            <w:gridSpan w:val="4"/>
            <w:tcBorders>
              <w:top w:val="nil"/>
              <w:left w:val="nil"/>
              <w:bottom w:val="nil"/>
              <w:right w:val="nil"/>
            </w:tcBorders>
            <w:vAlign w:val="center"/>
          </w:tcPr>
          <w:p w:rsidR="001773EE" w:rsidRDefault="001773EE" w:rsidP="001773EE">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1773EE" w:rsidRDefault="001773EE" w:rsidP="001773EE">
            <w:pPr>
              <w:widowControl w:val="0"/>
              <w:autoSpaceDE w:val="0"/>
              <w:autoSpaceDN w:val="0"/>
              <w:adjustRightInd w:val="0"/>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2013</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2014</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2015</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2016</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r>
      <w:tr w:rsidR="001773EE" w:rsidTr="001773EE">
        <w:trPr>
          <w:trHeight w:hRule="exact" w:val="34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pPr>
          </w:p>
        </w:tc>
      </w:tr>
      <w:tr w:rsidR="001773EE" w:rsidTr="000C4C2D">
        <w:trPr>
          <w:trHeight w:hRule="exact" w:val="309"/>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4 707 900,00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6 529 000,00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3 862 960,00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4 051 754,00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0C4C2D">
        <w:trPr>
          <w:trHeight w:hRule="exact" w:val="271"/>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0C4C2D">
        <w:trPr>
          <w:trHeight w:hRule="exact" w:val="289"/>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4 707 900,00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6 529 000,00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3 862 960,00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4 051 754,00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b/>
                <w:bCs/>
                <w:color w:val="000000"/>
                <w:sz w:val="16"/>
                <w:szCs w:val="16"/>
              </w:rPr>
            </w:pPr>
          </w:p>
        </w:tc>
      </w:tr>
      <w:tr w:rsidR="001773EE" w:rsidTr="001773EE">
        <w:trPr>
          <w:trHeight w:hRule="exact" w:val="7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Budowa Boiska Wiejskiego w Długim Kącie  - Pobudzenie tożsamości kurpiow</w:t>
            </w:r>
            <w:r w:rsidR="000C4C2D">
              <w:rPr>
                <w:rFonts w:ascii="Arial" w:hAnsi="Arial" w:cs="Arial"/>
                <w:color w:val="000000"/>
                <w:sz w:val="16"/>
                <w:szCs w:val="16"/>
              </w:rPr>
              <w:t>skiej społeczności oraz podnie</w:t>
            </w:r>
            <w:r>
              <w:rPr>
                <w:rFonts w:ascii="Arial" w:hAnsi="Arial" w:cs="Arial"/>
                <w:color w:val="000000"/>
                <w:sz w:val="16"/>
                <w:szCs w:val="16"/>
              </w:rPr>
              <w:t xml:space="preserve">sienie standardów życia na obszarach wiejskich Długiego </w:t>
            </w:r>
            <w:proofErr w:type="spellStart"/>
            <w:r>
              <w:rPr>
                <w:rFonts w:ascii="Arial" w:hAnsi="Arial" w:cs="Arial"/>
                <w:color w:val="000000"/>
                <w:sz w:val="16"/>
                <w:szCs w:val="16"/>
              </w:rPr>
              <w:t>Kątu</w:t>
            </w:r>
            <w:proofErr w:type="spellEnd"/>
            <w:r>
              <w:rPr>
                <w:rFonts w:ascii="Arial" w:hAnsi="Arial" w:cs="Arial"/>
                <w:color w:val="000000"/>
                <w:sz w:val="16"/>
                <w:szCs w:val="16"/>
              </w:rPr>
              <w:t xml:space="preserve"> poprzez budowę boiska sportowego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96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boiska wiejskiego w </w:t>
            </w:r>
            <w:proofErr w:type="spellStart"/>
            <w:r>
              <w:rPr>
                <w:rFonts w:ascii="Arial" w:hAnsi="Arial" w:cs="Arial"/>
                <w:color w:val="000000"/>
                <w:sz w:val="16"/>
                <w:szCs w:val="16"/>
              </w:rPr>
              <w:t>msc</w:t>
            </w:r>
            <w:proofErr w:type="spellEnd"/>
            <w:r>
              <w:rPr>
                <w:rFonts w:ascii="Arial" w:hAnsi="Arial" w:cs="Arial"/>
                <w:color w:val="000000"/>
                <w:sz w:val="16"/>
                <w:szCs w:val="16"/>
              </w:rPr>
              <w:t>. Gibałka  - Pobudzenie tożsamości kurpiowskiej społeczności oraz podniesienie standardów życia na obszarach wiejskich gminy Lelis poprzez zaspokojenie potrzeb społecznych, sportowych, rekreacyjnych, kulturowych oraz aktywizacyjnych</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345 000,00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7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ciśnieniowej we wsiach: Obierwia , Olszewka, Szwendrowy Most i Szafarnia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409 000,00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wraz z przyłączami w </w:t>
            </w:r>
            <w:proofErr w:type="spellStart"/>
            <w:r>
              <w:rPr>
                <w:rFonts w:ascii="Arial" w:hAnsi="Arial" w:cs="Arial"/>
                <w:color w:val="000000"/>
                <w:sz w:val="16"/>
                <w:szCs w:val="16"/>
              </w:rPr>
              <w:t>msc.Długi</w:t>
            </w:r>
            <w:proofErr w:type="spellEnd"/>
            <w:r>
              <w:rPr>
                <w:rFonts w:ascii="Arial" w:hAnsi="Arial" w:cs="Arial"/>
                <w:color w:val="000000"/>
                <w:sz w:val="16"/>
                <w:szCs w:val="16"/>
              </w:rPr>
              <w:t xml:space="preserve"> Kąt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placu zabaw wraz z montażem urządzeń małej architektury w miejscowości Łęg Przedmiejski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Wdrażanie lokalnych strategii rozwoju</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sieci kanalizacyjnej w Łęgu </w:t>
            </w:r>
            <w:r w:rsidR="000C4C2D">
              <w:rPr>
                <w:rFonts w:ascii="Arial" w:hAnsi="Arial" w:cs="Arial"/>
                <w:color w:val="000000"/>
                <w:sz w:val="16"/>
                <w:szCs w:val="16"/>
              </w:rPr>
              <w:t>Starościńskim</w:t>
            </w:r>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2 303 754,00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Modernizacja oświetlenia ulicznego - Poprawa infrastruktury technicznej gminy</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39 000,00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77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Poprawa bezpieczeństwa komunikacyjnego gminy Lelis poprzez przebudowę dróg gminnych nr 250620W i 250629W zlokalizowanych pomiędzy droga powiatową Ostrołęka - Łęg - Kurpiewskie a droga powiatową Ostrołęka - Durlasy - Lelis - Poprawa bezpieczeństwa</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3 430 000,00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Przebudowa drogi gminnej w </w:t>
            </w:r>
            <w:proofErr w:type="spellStart"/>
            <w:r>
              <w:rPr>
                <w:rFonts w:ascii="Arial" w:hAnsi="Arial" w:cs="Arial"/>
                <w:color w:val="000000"/>
                <w:sz w:val="16"/>
                <w:szCs w:val="16"/>
              </w:rPr>
              <w:t>msc</w:t>
            </w:r>
            <w:proofErr w:type="spellEnd"/>
            <w:r>
              <w:rPr>
                <w:rFonts w:ascii="Arial" w:hAnsi="Arial" w:cs="Arial"/>
                <w:color w:val="000000"/>
                <w:sz w:val="16"/>
                <w:szCs w:val="16"/>
              </w:rPr>
              <w:t>.</w:t>
            </w:r>
            <w:r w:rsidR="000C4C2D">
              <w:rPr>
                <w:rFonts w:ascii="Arial" w:hAnsi="Arial" w:cs="Arial"/>
                <w:color w:val="000000"/>
                <w:sz w:val="16"/>
                <w:szCs w:val="16"/>
              </w:rPr>
              <w:t xml:space="preserve"> </w:t>
            </w:r>
            <w:r>
              <w:rPr>
                <w:rFonts w:ascii="Arial" w:hAnsi="Arial" w:cs="Arial"/>
                <w:color w:val="000000"/>
                <w:sz w:val="16"/>
                <w:szCs w:val="16"/>
              </w:rPr>
              <w:t>Szafarnia kol. Ciernie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650 000,00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Ośrodka Etnograficznego w Lelisie - Ułatwienie dostępu mieszkańcom do dziedzictwa narodowego Kurpiów</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ulic w Lelisie :Wesołej, Srebrnej, Leśnej i Łąkowej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96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Rozbudowa oczyszczalni ścieków w Lelisie oraz budowa kanalizacji sanitarnej </w:t>
            </w:r>
            <w:proofErr w:type="spellStart"/>
            <w:r>
              <w:rPr>
                <w:rFonts w:ascii="Arial" w:hAnsi="Arial" w:cs="Arial"/>
                <w:color w:val="000000"/>
                <w:sz w:val="16"/>
                <w:szCs w:val="16"/>
              </w:rPr>
              <w:t>cisnieniowej</w:t>
            </w:r>
            <w:proofErr w:type="spellEnd"/>
            <w:r>
              <w:rPr>
                <w:rFonts w:ascii="Arial" w:hAnsi="Arial" w:cs="Arial"/>
                <w:color w:val="000000"/>
                <w:sz w:val="16"/>
                <w:szCs w:val="16"/>
              </w:rPr>
              <w:t xml:space="preserve"> we wsiach: Nasiadki ,Szafarczyska,2 kolonie wsi Lelis,1 kolonia wsi Durlasy oraz rozbudowa sieci wodociągowej we wsi Durlasy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1 581 280,00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Stacji Uzdatniania Wody w Lelisie - Poprawa warunków życia mieszkańców</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45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Szkoły Podstawowej w Białobieli - Pobudzenie tożsamości kurpiowskiej</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1 103 000,00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Techniczny sposób zamknięcia i rekultywacji składowiska odpadów innych niż niebezpieczne i obojętne w m. Gibałka,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w:t>
            </w:r>
            <w:r w:rsidR="000C4C2D">
              <w:rPr>
                <w:rFonts w:ascii="Arial" w:hAnsi="Arial" w:cs="Arial"/>
                <w:color w:val="000000"/>
                <w:sz w:val="16"/>
                <w:szCs w:val="16"/>
              </w:rPr>
              <w:t>pow. ostrołęcki</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19 620,00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Termomodernizacja budynku Szkoły Podstawowej w Obierwi - Ochrona środowiska naturalnego i wykorzystywanie odnawialnych źródeł </w:t>
            </w:r>
            <w:r w:rsidR="000C4C2D">
              <w:rPr>
                <w:rFonts w:ascii="Arial" w:hAnsi="Arial" w:cs="Arial"/>
                <w:color w:val="000000"/>
                <w:sz w:val="16"/>
                <w:szCs w:val="16"/>
              </w:rPr>
              <w:t>energii</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712 960,00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r w:rsidR="001773EE" w:rsidTr="001773EE">
        <w:trPr>
          <w:trHeight w:hRule="exact" w:val="580"/>
        </w:trPr>
        <w:tc>
          <w:tcPr>
            <w:tcW w:w="50" w:type="dxa"/>
            <w:tcBorders>
              <w:top w:val="nil"/>
              <w:left w:val="nil"/>
              <w:bottom w:val="nil"/>
              <w:right w:val="nil"/>
            </w:tcBorders>
          </w:tcPr>
          <w:p w:rsidR="001773EE" w:rsidRDefault="001773EE" w:rsidP="001773EE">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Współfinansowanie budowy i eksploatacji stacji segregacji odpadów komunalnych miast Ostrołęki i gmin powiatu </w:t>
            </w:r>
            <w:r w:rsidR="000C4C2D">
              <w:rPr>
                <w:rFonts w:ascii="Arial" w:hAnsi="Arial" w:cs="Arial"/>
                <w:color w:val="000000"/>
                <w:sz w:val="16"/>
                <w:szCs w:val="16"/>
              </w:rPr>
              <w:t>ostrołęckiego</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1773EE" w:rsidRDefault="001773EE" w:rsidP="001773EE">
            <w:pPr>
              <w:widowControl w:val="0"/>
              <w:autoSpaceDE w:val="0"/>
              <w:autoSpaceDN w:val="0"/>
              <w:adjustRightInd w:val="0"/>
              <w:jc w:val="right"/>
              <w:rPr>
                <w:rFonts w:ascii="Arial" w:hAnsi="Arial" w:cs="Arial"/>
                <w:color w:val="000000"/>
                <w:sz w:val="16"/>
                <w:szCs w:val="16"/>
              </w:rPr>
            </w:pPr>
          </w:p>
        </w:tc>
      </w:tr>
    </w:tbl>
    <w:p w:rsidR="001773EE" w:rsidRDefault="001773EE" w:rsidP="00C813EC">
      <w:pPr>
        <w:rPr>
          <w:rFonts w:ascii="Arial" w:hAnsi="Arial" w:cs="Arial"/>
          <w:b/>
        </w:rPr>
        <w:sectPr w:rsidR="001773EE" w:rsidSect="00160E49">
          <w:footerReference w:type="default" r:id="rId9"/>
          <w:pgSz w:w="16838" w:h="11906" w:orient="landscape"/>
          <w:pgMar w:top="709" w:right="1418" w:bottom="1418" w:left="1418" w:header="709" w:footer="709" w:gutter="0"/>
          <w:cols w:space="708"/>
          <w:docGrid w:linePitch="360"/>
        </w:sect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b/>
          <w:bCs/>
          <w:lang w:eastAsia="en-US"/>
        </w:rPr>
      </w:pPr>
      <w:r w:rsidRPr="00A237DB">
        <w:rPr>
          <w:rFonts w:ascii="Verdana" w:eastAsiaTheme="minorHAnsi" w:hAnsi="Verdana" w:cs="Verdana"/>
          <w:b/>
          <w:bCs/>
          <w:lang w:eastAsia="en-US"/>
        </w:rPr>
        <w:lastRenderedPageBreak/>
        <w:t xml:space="preserve">Objaśnienia wartości przyjętych w wieloletniej prognozie finansowej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r w:rsidRPr="00A237DB">
        <w:rPr>
          <w:rFonts w:ascii="Verdana" w:eastAsiaTheme="minorHAnsi" w:hAnsi="Verdana" w:cs="Verdana"/>
          <w:b/>
          <w:bCs/>
          <w:lang w:eastAsia="en-US"/>
        </w:rPr>
        <w:t>na lata 2013 - 2016  Gminy Lelis</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b/>
          <w:bCs/>
          <w:lang w:eastAsia="en-US"/>
        </w:rPr>
      </w:pPr>
      <w:r w:rsidRPr="00A237DB">
        <w:rPr>
          <w:rFonts w:ascii="Verdana" w:eastAsiaTheme="minorHAnsi" w:hAnsi="Verdana" w:cs="Verdana"/>
          <w:b/>
          <w:bCs/>
          <w:lang w:eastAsia="en-US"/>
        </w:rPr>
        <w:t>Uwagi ogólne:</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 xml:space="preserve">W wieloletniej prognozie finansowej na lata 2013 - 2016 przyjęto wzrost ogólnych kwot dochodów i wydatków w latach 2013 – 2016.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Dochody: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Założono wzrost dochodów bieżących na poziomie 2,8 % zgodnie z  informacji otrzymanych od Ministra Finansów oraz wskaźników inflacji publikowanych przez GUS. Założono, że wzrost dochodów bieżących w tym tempie będzie utrzymywał się przez 5 lat jako bazowy przyjęto rok 2012.</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W zakresie dochodów majątkowych wykazano jedynie dochody ze sprzedaży majątku (na dzień sporządzenia prognozy nie planuje się otrzymywania dotacji majątkowych). Na kolejne lata przyjęto wielkości sprzedaży majątku na podstawie zawartego aktu notarialnego.</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Wydatki:</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 xml:space="preserve">Wydatki na obsługę długu zaplanowano na podstawie harmonogramów spłat zaciągniętej pożyczki (istnieje możliwość umorzenia części pożyczki z tym ze na dzień sporządzenia prognozy zaplanowano całość spłat odsetek).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Na tej samej podstawie zaplanowano wysokość rozchodów.</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Wzrost wydatków bieżących planuje się w wysokości 2,8%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Pozycja „Wydatki związane z funkcjonowaniem organów j.s.t” obejmuje wydatki planowane w rozdziale 75022 „Rady gmin”–  w planie na rok 2013 przewiduje się spadek tych wydatków o 5% , natomiast  w kolejnych latach planowany jest ich wzrost.</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3D63F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color w:val="000000"/>
          <w:lang w:eastAsia="en-US"/>
        </w:rPr>
        <w:t xml:space="preserve">Wydatki majątkowe zaplanowano na przedsięwzięcia przewidziane </w:t>
      </w:r>
      <w:r w:rsidRPr="00A237DB">
        <w:rPr>
          <w:rFonts w:ascii="Verdana" w:eastAsiaTheme="minorHAnsi" w:hAnsi="Verdana" w:cs="Verdana"/>
          <w:lang w:eastAsia="en-US"/>
        </w:rPr>
        <w:t xml:space="preserve">w załączniku nr 2 do uchwały w sprawie wieloletniej prognozy finansowej.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r w:rsidRPr="00A237DB">
        <w:rPr>
          <w:rFonts w:ascii="Verdana" w:eastAsiaTheme="minorHAnsi" w:hAnsi="Verdana" w:cs="Verdana"/>
          <w:lang w:eastAsia="en-US"/>
        </w:rPr>
        <w:t>W pozostałym zakresie przewiduje się realizację inwestycji rocznych.</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r w:rsidRPr="00A237DB">
        <w:rPr>
          <w:rFonts w:ascii="Verdana" w:eastAsiaTheme="minorHAnsi" w:hAnsi="Verdana" w:cs="Verdana"/>
          <w:b/>
          <w:bCs/>
          <w:color w:val="000000"/>
          <w:lang w:eastAsia="en-US"/>
        </w:rPr>
        <w:t>Przychody: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r w:rsidRPr="00A237DB">
        <w:rPr>
          <w:rFonts w:ascii="Verdana" w:eastAsiaTheme="minorHAnsi" w:hAnsi="Verdana" w:cs="Verdana"/>
          <w:color w:val="000000"/>
          <w:lang w:eastAsia="en-US"/>
        </w:rPr>
        <w:t>Na dzień przyjęcia prognozy planuje się jedynie przychody z tytułu nadwyżki budżetowej  z lat ubiegłych  w wysokości 5 800 350,00 zł.</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color w:val="000000"/>
          <w:lang w:eastAsia="en-US"/>
        </w:rPr>
        <w:t>Rozchody: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Ustalono rozchody budżetu w kwocie 82 150,00 zł z przeznaczeniem na spłatę długu - zaplanowano na podstawie harmonogramów spłat zaciągniętych pożyczek.</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Wynik budżetu:</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Kolumna 28 Wynik budżetu jest różnicą pomiędzy kolumną 26 „Dochody ogółem”  a kolumną  27 „</w:t>
      </w:r>
      <w:r w:rsidR="00E86A0E">
        <w:rPr>
          <w:rFonts w:ascii="Verdana" w:eastAsiaTheme="minorHAnsi" w:hAnsi="Verdana" w:cs="Verdana"/>
          <w:lang w:eastAsia="en-US"/>
        </w:rPr>
        <w:t>Wydatki ogółem ” tj. (-) 5 517 2</w:t>
      </w:r>
      <w:r w:rsidRPr="00A237DB">
        <w:rPr>
          <w:rFonts w:ascii="Verdana" w:eastAsiaTheme="minorHAnsi" w:hAnsi="Verdana" w:cs="Verdana"/>
          <w:lang w:eastAsia="en-US"/>
        </w:rPr>
        <w:t xml:space="preserve">00,00 zł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autoSpaceDE w:val="0"/>
        <w:autoSpaceDN w:val="0"/>
        <w:adjustRightInd w:val="0"/>
        <w:rPr>
          <w:rFonts w:ascii="Verdana" w:eastAsiaTheme="minorHAnsi" w:hAnsi="Verdana" w:cs="Verdana"/>
          <w:lang w:eastAsia="en-US"/>
        </w:rPr>
      </w:pPr>
    </w:p>
    <w:p w:rsidR="00A237DB" w:rsidRDefault="00A237DB" w:rsidP="007A452A">
      <w:pPr>
        <w:jc w:val="center"/>
        <w:rPr>
          <w:rFonts w:ascii="Arial" w:hAnsi="Arial" w:cs="Arial"/>
          <w:b/>
        </w:rPr>
      </w:pPr>
    </w:p>
    <w:sectPr w:rsidR="00A237DB" w:rsidSect="00A237DB">
      <w:pgSz w:w="12240" w:h="15840"/>
      <w:pgMar w:top="1440" w:right="1440" w:bottom="1417"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C9" w:rsidRDefault="005563C9" w:rsidP="00467989">
      <w:r>
        <w:separator/>
      </w:r>
    </w:p>
  </w:endnote>
  <w:endnote w:type="continuationSeparator" w:id="0">
    <w:p w:rsidR="005563C9" w:rsidRDefault="005563C9" w:rsidP="0046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29" w:rsidRDefault="001770B5">
    <w:pPr>
      <w:pStyle w:val="Stopka"/>
      <w:jc w:val="right"/>
    </w:pPr>
    <w:r>
      <w:fldChar w:fldCharType="begin"/>
    </w:r>
    <w:r>
      <w:instrText xml:space="preserve"> PAGE   \* MERGEFORMAT </w:instrText>
    </w:r>
    <w:r>
      <w:fldChar w:fldCharType="separate"/>
    </w:r>
    <w:r w:rsidR="003B1388">
      <w:rPr>
        <w:noProof/>
      </w:rPr>
      <w:t>8</w:t>
    </w:r>
    <w:r>
      <w:rPr>
        <w:noProof/>
      </w:rPr>
      <w:fldChar w:fldCharType="end"/>
    </w:r>
  </w:p>
  <w:p w:rsidR="00BB7029" w:rsidRDefault="00BB7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C9" w:rsidRDefault="005563C9" w:rsidP="00467989">
      <w:r>
        <w:separator/>
      </w:r>
    </w:p>
  </w:footnote>
  <w:footnote w:type="continuationSeparator" w:id="0">
    <w:p w:rsidR="005563C9" w:rsidRDefault="005563C9" w:rsidP="0046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087"/>
    <w:multiLevelType w:val="hybridMultilevel"/>
    <w:tmpl w:val="E2B831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A65"/>
    <w:rsid w:val="00045659"/>
    <w:rsid w:val="000719BD"/>
    <w:rsid w:val="000C4C2D"/>
    <w:rsid w:val="000C71C2"/>
    <w:rsid w:val="00155187"/>
    <w:rsid w:val="00160E49"/>
    <w:rsid w:val="001623FE"/>
    <w:rsid w:val="001770B5"/>
    <w:rsid w:val="001773EE"/>
    <w:rsid w:val="001C0AE7"/>
    <w:rsid w:val="001D3F29"/>
    <w:rsid w:val="001F63AF"/>
    <w:rsid w:val="0023141C"/>
    <w:rsid w:val="002464E3"/>
    <w:rsid w:val="00271A2E"/>
    <w:rsid w:val="00286298"/>
    <w:rsid w:val="002D4E18"/>
    <w:rsid w:val="00303636"/>
    <w:rsid w:val="00391840"/>
    <w:rsid w:val="003A2D85"/>
    <w:rsid w:val="003B1388"/>
    <w:rsid w:val="003C6530"/>
    <w:rsid w:val="003D63FB"/>
    <w:rsid w:val="00432457"/>
    <w:rsid w:val="00467989"/>
    <w:rsid w:val="00521BC6"/>
    <w:rsid w:val="005317A5"/>
    <w:rsid w:val="005447CF"/>
    <w:rsid w:val="005563C9"/>
    <w:rsid w:val="006241E4"/>
    <w:rsid w:val="006329F6"/>
    <w:rsid w:val="00633109"/>
    <w:rsid w:val="006A4A65"/>
    <w:rsid w:val="006B271C"/>
    <w:rsid w:val="006E508E"/>
    <w:rsid w:val="006F2E33"/>
    <w:rsid w:val="007106DE"/>
    <w:rsid w:val="007A452A"/>
    <w:rsid w:val="007D5BFE"/>
    <w:rsid w:val="00897741"/>
    <w:rsid w:val="008F394A"/>
    <w:rsid w:val="00990B99"/>
    <w:rsid w:val="009B25AB"/>
    <w:rsid w:val="009B58FB"/>
    <w:rsid w:val="00A237DB"/>
    <w:rsid w:val="00A27C7C"/>
    <w:rsid w:val="00A43AE5"/>
    <w:rsid w:val="00A65915"/>
    <w:rsid w:val="00A73053"/>
    <w:rsid w:val="00AB5A18"/>
    <w:rsid w:val="00AD0F8E"/>
    <w:rsid w:val="00AF5E85"/>
    <w:rsid w:val="00B468BB"/>
    <w:rsid w:val="00B5539E"/>
    <w:rsid w:val="00BB7029"/>
    <w:rsid w:val="00C01AFE"/>
    <w:rsid w:val="00C813EC"/>
    <w:rsid w:val="00CB5D47"/>
    <w:rsid w:val="00D4424D"/>
    <w:rsid w:val="00DB3764"/>
    <w:rsid w:val="00DE1877"/>
    <w:rsid w:val="00E31569"/>
    <w:rsid w:val="00E42CBC"/>
    <w:rsid w:val="00E86A0E"/>
    <w:rsid w:val="00ED3F5E"/>
    <w:rsid w:val="00EF6F36"/>
    <w:rsid w:val="00F008F1"/>
    <w:rsid w:val="00F17F93"/>
    <w:rsid w:val="00F53776"/>
    <w:rsid w:val="00F9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A4A65"/>
    <w:pPr>
      <w:tabs>
        <w:tab w:val="center" w:pos="4536"/>
        <w:tab w:val="right" w:pos="9072"/>
      </w:tabs>
    </w:pPr>
  </w:style>
  <w:style w:type="character" w:customStyle="1" w:styleId="StopkaZnak">
    <w:name w:val="Stopka Znak"/>
    <w:basedOn w:val="Domylnaczcionkaakapitu"/>
    <w:link w:val="Stopka"/>
    <w:uiPriority w:val="99"/>
    <w:rsid w:val="006A4A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237DB"/>
    <w:pPr>
      <w:autoSpaceDE w:val="0"/>
      <w:autoSpaceDN w:val="0"/>
      <w:adjustRightInd w:val="0"/>
      <w:spacing w:line="360" w:lineRule="auto"/>
      <w:ind w:left="284"/>
      <w:jc w:val="both"/>
    </w:pPr>
    <w:rPr>
      <w:rFonts w:eastAsiaTheme="minorHAnsi"/>
      <w:lang w:eastAsia="en-US"/>
    </w:rPr>
  </w:style>
  <w:style w:type="character" w:customStyle="1" w:styleId="Tekstpodstawowywcity2Znak">
    <w:name w:val="Tekst podstawowy wcięty 2 Znak"/>
    <w:basedOn w:val="Domylnaczcionkaakapitu"/>
    <w:link w:val="Tekstpodstawowywcity2"/>
    <w:uiPriority w:val="99"/>
    <w:rsid w:val="00A237D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ED3F5E"/>
    <w:rPr>
      <w:rFonts w:ascii="Tahoma" w:hAnsi="Tahoma" w:cs="Tahoma"/>
      <w:sz w:val="16"/>
      <w:szCs w:val="16"/>
    </w:rPr>
  </w:style>
  <w:style w:type="character" w:customStyle="1" w:styleId="TekstdymkaZnak">
    <w:name w:val="Tekst dymka Znak"/>
    <w:basedOn w:val="Domylnaczcionkaakapitu"/>
    <w:link w:val="Tekstdymka"/>
    <w:uiPriority w:val="99"/>
    <w:semiHidden/>
    <w:rsid w:val="00ED3F5E"/>
    <w:rPr>
      <w:rFonts w:ascii="Tahoma" w:eastAsia="Times New Roman" w:hAnsi="Tahoma" w:cs="Tahoma"/>
      <w:sz w:val="16"/>
      <w:szCs w:val="16"/>
      <w:lang w:eastAsia="pl-PL"/>
    </w:rPr>
  </w:style>
  <w:style w:type="paragraph" w:styleId="Akapitzlist">
    <w:name w:val="List Paragraph"/>
    <w:basedOn w:val="Normalny"/>
    <w:uiPriority w:val="34"/>
    <w:qFormat/>
    <w:rsid w:val="00544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3AA71-962B-4172-859C-6A21F76D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9</Pages>
  <Words>2556</Words>
  <Characters>15338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bparzych</dc:creator>
  <cp:keywords/>
  <dc:description/>
  <cp:lastModifiedBy>Piotr Parzych</cp:lastModifiedBy>
  <cp:revision>32</cp:revision>
  <cp:lastPrinted>2013-01-02T11:26:00Z</cp:lastPrinted>
  <dcterms:created xsi:type="dcterms:W3CDTF">2012-12-07T08:58:00Z</dcterms:created>
  <dcterms:modified xsi:type="dcterms:W3CDTF">2013-01-07T10:37:00Z</dcterms:modified>
</cp:coreProperties>
</file>