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EF" w:rsidRPr="00F523E8" w:rsidRDefault="004F17EF" w:rsidP="004F17EF">
      <w:pPr>
        <w:jc w:val="center"/>
        <w:rPr>
          <w:b/>
        </w:rPr>
      </w:pPr>
      <w:r w:rsidRPr="00F523E8">
        <w:rPr>
          <w:b/>
        </w:rPr>
        <w:t xml:space="preserve">Uzasadnienie do projektu </w:t>
      </w:r>
    </w:p>
    <w:p w:rsidR="004F17EF" w:rsidRPr="00F523E8" w:rsidRDefault="004F17EF" w:rsidP="004F17EF">
      <w:pPr>
        <w:jc w:val="center"/>
        <w:rPr>
          <w:b/>
        </w:rPr>
      </w:pPr>
      <w:r w:rsidRPr="00F523E8">
        <w:rPr>
          <w:b/>
        </w:rPr>
        <w:t>Uchwały NR</w:t>
      </w:r>
      <w:r>
        <w:rPr>
          <w:b/>
        </w:rPr>
        <w:t xml:space="preserve"> XXVI/126</w:t>
      </w:r>
      <w:r w:rsidRPr="00F523E8">
        <w:rPr>
          <w:b/>
        </w:rPr>
        <w:t>/09</w:t>
      </w:r>
    </w:p>
    <w:p w:rsidR="004F17EF" w:rsidRPr="00F523E8" w:rsidRDefault="004F17EF" w:rsidP="004F17EF">
      <w:pPr>
        <w:jc w:val="center"/>
        <w:rPr>
          <w:b/>
        </w:rPr>
      </w:pPr>
      <w:r w:rsidRPr="00F523E8">
        <w:rPr>
          <w:b/>
        </w:rPr>
        <w:t xml:space="preserve">RADY GMINY LELIS </w:t>
      </w:r>
    </w:p>
    <w:p w:rsidR="004F17EF" w:rsidRDefault="004F17EF" w:rsidP="004F17EF">
      <w:pPr>
        <w:jc w:val="center"/>
        <w:rPr>
          <w:b/>
        </w:rPr>
      </w:pPr>
      <w:r>
        <w:rPr>
          <w:b/>
        </w:rPr>
        <w:t>z</w:t>
      </w:r>
      <w:r w:rsidRPr="00F523E8">
        <w:rPr>
          <w:b/>
        </w:rPr>
        <w:t xml:space="preserve">  dnia 30 czerwca 2009r.</w:t>
      </w:r>
    </w:p>
    <w:p w:rsidR="004F17EF" w:rsidRDefault="004F17EF" w:rsidP="004F17EF">
      <w:pPr>
        <w:jc w:val="center"/>
        <w:rPr>
          <w:b/>
        </w:rPr>
      </w:pPr>
    </w:p>
    <w:p w:rsidR="004F17EF" w:rsidRPr="00F523E8" w:rsidRDefault="004F17EF" w:rsidP="004F17EF">
      <w:pPr>
        <w:jc w:val="center"/>
        <w:rPr>
          <w:b/>
        </w:rPr>
      </w:pPr>
    </w:p>
    <w:p w:rsidR="004F17EF" w:rsidRPr="00F523E8" w:rsidRDefault="004F17EF" w:rsidP="004F17EF">
      <w:pPr>
        <w:jc w:val="center"/>
        <w:rPr>
          <w:b/>
        </w:rPr>
      </w:pPr>
    </w:p>
    <w:p w:rsidR="004F17EF" w:rsidRDefault="004F17EF" w:rsidP="004F17EF">
      <w:pPr>
        <w:jc w:val="both"/>
        <w:rPr>
          <w:b/>
        </w:rPr>
      </w:pPr>
      <w:r>
        <w:rPr>
          <w:b/>
        </w:rPr>
        <w:t>w</w:t>
      </w:r>
      <w:r w:rsidRPr="00F523E8">
        <w:rPr>
          <w:b/>
        </w:rPr>
        <w:t xml:space="preserve"> sprawie wyrażenia zgody na wyodrębnienie w budżecie Gminy środk</w:t>
      </w:r>
      <w:r>
        <w:rPr>
          <w:b/>
        </w:rPr>
        <w:t>ów stanowiących fundusz sołecki</w:t>
      </w:r>
      <w:r w:rsidRPr="00F523E8">
        <w:rPr>
          <w:b/>
        </w:rPr>
        <w:t>.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Sejm 20 lutego br. uchwalił ustawę o funduszu sołeckim, która weszła w życie 1 kwietnia 2009r.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 xml:space="preserve">O wyodrębnieniu środków na fundusz sołecki w budżecie gminy rozstrzyga Rada Gminy do 31 marca roku poprzedzającego rok budżetowy. W roku 2009 Rada Gminy powinna podjąć taką uchwałę do 30 czerwca. W podjętej uchwale Rada wyraża albo nie wyraża zgody na wyodrębnienie funduszu. 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Środki funduszu przeznacza się na realizację przedsięwzięć, zgłoszone we wniosku sołectwa, które są:</w:t>
      </w:r>
    </w:p>
    <w:p w:rsidR="004F17EF" w:rsidRDefault="004F17EF" w:rsidP="004F17EF">
      <w:pPr>
        <w:jc w:val="both"/>
      </w:pPr>
      <w:r>
        <w:t xml:space="preserve">      - zdaniami własnymi gminy, </w:t>
      </w:r>
    </w:p>
    <w:p w:rsidR="004F17EF" w:rsidRDefault="004F17EF" w:rsidP="004F17EF">
      <w:pPr>
        <w:jc w:val="both"/>
      </w:pPr>
      <w:r>
        <w:t xml:space="preserve">      - służą poprawie warunków życia mieszkańców oraz</w:t>
      </w:r>
    </w:p>
    <w:p w:rsidR="004F17EF" w:rsidRDefault="004F17EF" w:rsidP="004F17EF">
      <w:pPr>
        <w:jc w:val="both"/>
      </w:pPr>
      <w:r>
        <w:t xml:space="preserve">      - są zgodne ze strategią rozwoju gminy. </w:t>
      </w:r>
    </w:p>
    <w:p w:rsidR="004F17EF" w:rsidRDefault="004F17EF" w:rsidP="004F17EF">
      <w:pPr>
        <w:jc w:val="both"/>
      </w:pPr>
      <w:r>
        <w:t>Ponadto środki funduszu mogą być przeznaczone na pokrycie wydatków na działania, które zmierzają do usunięcia skutków klęski żywiołowej na podstawie ustawy z 18 kwietnia 2002r. o stanie klęski żywiołowej.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 xml:space="preserve">Fundusz sołecki nie jest funduszem celowym, zgodnie z ustawą z 30 czerwca 2005r. o finansach publicznych. 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Środki z funduszu przyznawane są w danym roku budżetowym. Warunkiem przyznania jest złożenia przez sołectwo wniosku do wójta.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Ustawa o fundusz sołeckim określa elementy, które powinien zawierać wniosek. Są to:</w:t>
      </w:r>
    </w:p>
    <w:p w:rsidR="004F17EF" w:rsidRDefault="004F17EF" w:rsidP="004F17EF">
      <w:pPr>
        <w:jc w:val="both"/>
      </w:pPr>
      <w:r>
        <w:t xml:space="preserve">      - wskazanie przedsięwzięć przewidzianych do realizacji na obszarze danego sołectwa, </w:t>
      </w:r>
    </w:p>
    <w:p w:rsidR="004F17EF" w:rsidRDefault="004F17EF" w:rsidP="004F17EF">
      <w:pPr>
        <w:jc w:val="both"/>
      </w:pPr>
      <w:r>
        <w:t xml:space="preserve">      - oszacowanie kosztów przedsięwzięć, </w:t>
      </w:r>
    </w:p>
    <w:p w:rsidR="004F17EF" w:rsidRDefault="004F17EF" w:rsidP="004F17EF">
      <w:pPr>
        <w:jc w:val="both"/>
      </w:pPr>
      <w:r>
        <w:t xml:space="preserve">      - uzasadnienie.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Wniosek sołectwa uchwalony jest na zebraniu wiejskim z inicjatywy:</w:t>
      </w:r>
    </w:p>
    <w:p w:rsidR="004F17EF" w:rsidRDefault="004F17EF" w:rsidP="004F17EF">
      <w:pPr>
        <w:jc w:val="both"/>
      </w:pPr>
      <w:r>
        <w:t xml:space="preserve">      - sołtysa,</w:t>
      </w:r>
    </w:p>
    <w:p w:rsidR="004F17EF" w:rsidRDefault="004F17EF" w:rsidP="004F17EF">
      <w:pPr>
        <w:jc w:val="both"/>
      </w:pPr>
      <w:r>
        <w:t xml:space="preserve">      - rady sołeckiej lub</w:t>
      </w:r>
    </w:p>
    <w:p w:rsidR="004F17EF" w:rsidRDefault="004F17EF" w:rsidP="004F17EF">
      <w:pPr>
        <w:jc w:val="both"/>
      </w:pPr>
      <w:r>
        <w:t xml:space="preserve">      - co najmniej 15 pełnoletnich mieszkańców sołectwa.</w:t>
      </w:r>
    </w:p>
    <w:p w:rsidR="004F17EF" w:rsidRDefault="004F17EF" w:rsidP="004F17EF">
      <w:pPr>
        <w:jc w:val="both"/>
      </w:pPr>
      <w:r>
        <w:t>Ustawa o funduszu sołeckim wskazuje termin na przekazanie wniosku przez sołtysa wójtowi. Wniosek ten jest przekazywany do 30 września roku poprzedzającego rok budżetowy, którego dotyczy wniosek w celu uwzględnienia go w projekcie budżetu gminy.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Do wyliczenia wysokości środków przypadających na dane sołectwo  należy posłużyć się wzorem: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center"/>
        <w:rPr>
          <w:b/>
          <w:vertAlign w:val="subscript"/>
        </w:rPr>
      </w:pPr>
      <w:r>
        <w:rPr>
          <w:b/>
        </w:rPr>
        <w:t xml:space="preserve">F = (2 + </w:t>
      </w:r>
      <w:r w:rsidRPr="001176E2">
        <w:rPr>
          <w:b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4" o:title=""/>
          </v:shape>
          <o:OLEObject Type="Embed" ProgID="Equation.3" ShapeID="_x0000_i1025" DrawAspect="Content" ObjectID="_1313394619" r:id="rId5"/>
        </w:object>
      </w:r>
      <w:r>
        <w:rPr>
          <w:b/>
        </w:rPr>
        <w:t xml:space="preserve">) x </w:t>
      </w:r>
      <w:proofErr w:type="spellStart"/>
      <w:r>
        <w:rPr>
          <w:b/>
        </w:rPr>
        <w:t>K</w:t>
      </w:r>
      <w:r>
        <w:rPr>
          <w:b/>
          <w:vertAlign w:val="subscript"/>
        </w:rPr>
        <w:t>b</w:t>
      </w:r>
      <w:proofErr w:type="spellEnd"/>
    </w:p>
    <w:p w:rsidR="004F17EF" w:rsidRDefault="004F17EF" w:rsidP="004F17EF">
      <w:pPr>
        <w:jc w:val="center"/>
        <w:rPr>
          <w:b/>
          <w:vertAlign w:val="subscript"/>
        </w:rPr>
      </w:pPr>
    </w:p>
    <w:p w:rsidR="004F17EF" w:rsidRDefault="004F17EF" w:rsidP="004F17EF">
      <w:pPr>
        <w:jc w:val="both"/>
      </w:pPr>
      <w:r w:rsidRPr="001176E2">
        <w:t>g</w:t>
      </w:r>
      <w:r>
        <w:t>dzie poszczególne symbole oznaczają:</w:t>
      </w:r>
    </w:p>
    <w:p w:rsidR="004F17EF" w:rsidRDefault="004F17EF" w:rsidP="004F17EF">
      <w:pPr>
        <w:jc w:val="both"/>
      </w:pPr>
      <w:r w:rsidRPr="003A7775">
        <w:rPr>
          <w:b/>
        </w:rPr>
        <w:t>F</w:t>
      </w:r>
      <w:r>
        <w:t xml:space="preserve"> – wysokość środków przeznaczonych na dane sołectwo, jednak nie więcej niż       dziesięciokrotność </w:t>
      </w:r>
      <w:proofErr w:type="spellStart"/>
      <w:r>
        <w:t>K</w:t>
      </w:r>
      <w:r w:rsidRPr="009871D6">
        <w:rPr>
          <w:vertAlign w:val="subscript"/>
        </w:rPr>
        <w:t>b</w:t>
      </w:r>
      <w:proofErr w:type="spellEnd"/>
      <w:r>
        <w:t>,</w:t>
      </w:r>
    </w:p>
    <w:p w:rsidR="004F17EF" w:rsidRDefault="004F17EF" w:rsidP="004F17EF">
      <w:pPr>
        <w:jc w:val="both"/>
      </w:pPr>
      <w:proofErr w:type="spellStart"/>
      <w:r w:rsidRPr="003A7775">
        <w:rPr>
          <w:b/>
        </w:rPr>
        <w:t>Lm</w:t>
      </w:r>
      <w:proofErr w:type="spellEnd"/>
      <w:r>
        <w:t xml:space="preserve"> – liczbę mieszkańców sołectwa według stanu na dzień 30 czerwca roku poprzedzającego   rok budżetowy, określoną na podstawie prowadzonego przez gminę zbioru danych stałych mieszkańców, o którym mowa w art. 44a ust.1 </w:t>
      </w:r>
      <w:proofErr w:type="spellStart"/>
      <w:r>
        <w:t>pkt</w:t>
      </w:r>
      <w:proofErr w:type="spellEnd"/>
      <w:r>
        <w:t xml:space="preserve"> 1 lit. a ustawy z dnia 10 kwietnia 1974r. o ewidencji ludności i dowodach osobistych (Dz. U. z 2006r. Nr 139, poz. 993, z </w:t>
      </w:r>
      <w:proofErr w:type="spellStart"/>
      <w:r>
        <w:t>późn</w:t>
      </w:r>
      <w:proofErr w:type="spellEnd"/>
      <w:r>
        <w:t>. zm.),</w:t>
      </w:r>
    </w:p>
    <w:p w:rsidR="004F17EF" w:rsidRDefault="004F17EF" w:rsidP="004F17EF">
      <w:pPr>
        <w:jc w:val="both"/>
      </w:pPr>
      <w:proofErr w:type="spellStart"/>
      <w:r w:rsidRPr="003A7775">
        <w:rPr>
          <w:b/>
        </w:rPr>
        <w:t>K</w:t>
      </w:r>
      <w:r w:rsidRPr="003A7775">
        <w:rPr>
          <w:b/>
          <w:vertAlign w:val="subscript"/>
        </w:rPr>
        <w:t>b</w:t>
      </w:r>
      <w:proofErr w:type="spellEnd"/>
      <w:r>
        <w:t xml:space="preserve"> – kwotę bazową – obliczoną jako iloraz wykonanych dochodów bieżących danej gminy, o których mowa w przepisach o finansach publicznych, za rok poprzedzający rok budżetowy o dwa lata oraz liczby mieszkańców zamieszkałych na obszarze danej gminy, według stanu na dzień 31 grudnia roku poprzedzającego rok budżetowy o dwa lata, ustalonej przez Prezesa Głównego Urzędu Statystycznego. 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Środki funduszu niewykorzystane w roku budżetowym wygasają z upływem roku.</w:t>
      </w:r>
    </w:p>
    <w:p w:rsidR="004F17EF" w:rsidRDefault="004F17EF" w:rsidP="004F17EF">
      <w:pPr>
        <w:jc w:val="both"/>
      </w:pPr>
    </w:p>
    <w:p w:rsidR="004F17EF" w:rsidRDefault="004F17EF" w:rsidP="004F17EF">
      <w:pPr>
        <w:jc w:val="both"/>
      </w:pPr>
      <w:r>
        <w:t>W formie dotacji celowej gminy będą otrzymywać z budżetu państwa zwrot części wydatków wykonanych w roku poprzedzającym rok budżetowy w ramach funduszu w wysokości podanej w tabeli.</w:t>
      </w:r>
    </w:p>
    <w:p w:rsidR="004F17EF" w:rsidRDefault="004F17EF" w:rsidP="004F17EF"/>
    <w:tbl>
      <w:tblPr>
        <w:tblStyle w:val="Tabela-Siatka"/>
        <w:tblW w:w="0" w:type="auto"/>
        <w:tblInd w:w="1153" w:type="dxa"/>
        <w:tblLook w:val="01E0"/>
      </w:tblPr>
      <w:tblGrid>
        <w:gridCol w:w="3632"/>
        <w:gridCol w:w="3632"/>
      </w:tblGrid>
      <w:tr w:rsidR="004F17EF" w:rsidTr="00C641DF">
        <w:trPr>
          <w:trHeight w:val="425"/>
        </w:trPr>
        <w:tc>
          <w:tcPr>
            <w:tcW w:w="3632" w:type="dxa"/>
            <w:vAlign w:val="center"/>
          </w:tcPr>
          <w:p w:rsidR="004F17EF" w:rsidRDefault="004F17EF" w:rsidP="00C641DF">
            <w:pPr>
              <w:jc w:val="center"/>
            </w:pPr>
            <w:r>
              <w:t>Dla gmin</w:t>
            </w:r>
          </w:p>
        </w:tc>
        <w:tc>
          <w:tcPr>
            <w:tcW w:w="3632" w:type="dxa"/>
            <w:vAlign w:val="center"/>
          </w:tcPr>
          <w:p w:rsidR="004F17EF" w:rsidRDefault="004F17EF" w:rsidP="00C641DF">
            <w:pPr>
              <w:jc w:val="center"/>
            </w:pPr>
            <w:r>
              <w:t>% wykonanych wydatków</w:t>
            </w:r>
          </w:p>
        </w:tc>
      </w:tr>
      <w:tr w:rsidR="004F17EF" w:rsidTr="00C641DF">
        <w:trPr>
          <w:trHeight w:val="425"/>
        </w:trPr>
        <w:tc>
          <w:tcPr>
            <w:tcW w:w="3632" w:type="dxa"/>
            <w:vAlign w:val="center"/>
          </w:tcPr>
          <w:p w:rsidR="004F17EF" w:rsidRDefault="004F17EF" w:rsidP="00C641DF">
            <w:pPr>
              <w:jc w:val="center"/>
            </w:pPr>
            <w:r>
              <w:t xml:space="preserve">w których </w:t>
            </w:r>
            <w:proofErr w:type="spellStart"/>
            <w:r>
              <w:t>K</w:t>
            </w:r>
            <w:r>
              <w:rPr>
                <w:vertAlign w:val="subscript"/>
              </w:rPr>
              <w:t>b</w:t>
            </w:r>
            <w:proofErr w:type="spellEnd"/>
            <w:r>
              <w:t xml:space="preserve"> jest mniejsze </w:t>
            </w:r>
          </w:p>
          <w:p w:rsidR="004F17EF" w:rsidRPr="00FB50D8" w:rsidRDefault="004F17EF" w:rsidP="00C641DF">
            <w:pPr>
              <w:jc w:val="center"/>
            </w:pPr>
            <w:r>
              <w:t>od średniego K</w:t>
            </w:r>
            <w:r>
              <w:rPr>
                <w:vertAlign w:val="subscript"/>
              </w:rPr>
              <w:t>bk</w:t>
            </w:r>
            <w:r>
              <w:t xml:space="preserve"> w skali kraju</w:t>
            </w:r>
          </w:p>
        </w:tc>
        <w:tc>
          <w:tcPr>
            <w:tcW w:w="3632" w:type="dxa"/>
            <w:vAlign w:val="center"/>
          </w:tcPr>
          <w:p w:rsidR="004F17EF" w:rsidRDefault="004F17EF" w:rsidP="00C641DF">
            <w:pPr>
              <w:jc w:val="center"/>
            </w:pPr>
            <w:r>
              <w:t>30%</w:t>
            </w:r>
          </w:p>
        </w:tc>
      </w:tr>
      <w:tr w:rsidR="004F17EF" w:rsidTr="00C641DF">
        <w:trPr>
          <w:trHeight w:val="425"/>
        </w:trPr>
        <w:tc>
          <w:tcPr>
            <w:tcW w:w="3632" w:type="dxa"/>
            <w:vAlign w:val="center"/>
          </w:tcPr>
          <w:p w:rsidR="004F17EF" w:rsidRPr="00924565" w:rsidRDefault="004F17EF" w:rsidP="00C641DF">
            <w:pPr>
              <w:jc w:val="center"/>
            </w:pPr>
            <w:r>
              <w:t xml:space="preserve">w których </w:t>
            </w:r>
            <w:proofErr w:type="spellStart"/>
            <w:r>
              <w:t>K</w:t>
            </w:r>
            <w:r>
              <w:rPr>
                <w:vertAlign w:val="subscript"/>
              </w:rPr>
              <w:t>b</w:t>
            </w:r>
            <w:proofErr w:type="spellEnd"/>
            <w:r>
              <w:t xml:space="preserve"> wynosi od 100% do 120% średniego K</w:t>
            </w:r>
            <w:r w:rsidRPr="00924565">
              <w:rPr>
                <w:vertAlign w:val="subscript"/>
              </w:rPr>
              <w:t>bk</w:t>
            </w:r>
            <w:r>
              <w:t xml:space="preserve"> w skali kraju</w:t>
            </w:r>
          </w:p>
        </w:tc>
        <w:tc>
          <w:tcPr>
            <w:tcW w:w="3632" w:type="dxa"/>
            <w:vAlign w:val="center"/>
          </w:tcPr>
          <w:p w:rsidR="004F17EF" w:rsidRDefault="004F17EF" w:rsidP="00C641DF">
            <w:pPr>
              <w:jc w:val="center"/>
            </w:pPr>
            <w:r>
              <w:t>20%</w:t>
            </w:r>
          </w:p>
        </w:tc>
      </w:tr>
      <w:tr w:rsidR="004F17EF" w:rsidTr="00C641DF">
        <w:trPr>
          <w:trHeight w:val="449"/>
        </w:trPr>
        <w:tc>
          <w:tcPr>
            <w:tcW w:w="3632" w:type="dxa"/>
            <w:vAlign w:val="center"/>
          </w:tcPr>
          <w:p w:rsidR="004F17EF" w:rsidRDefault="004F17EF" w:rsidP="00C641DF">
            <w:pPr>
              <w:jc w:val="center"/>
            </w:pPr>
            <w:r>
              <w:t xml:space="preserve">w których </w:t>
            </w:r>
            <w:proofErr w:type="spellStart"/>
            <w:r>
              <w:t>K</w:t>
            </w:r>
            <w:r w:rsidRPr="00924565">
              <w:rPr>
                <w:vertAlign w:val="subscript"/>
              </w:rPr>
              <w:t>b</w:t>
            </w:r>
            <w:proofErr w:type="spellEnd"/>
            <w:r>
              <w:t xml:space="preserve"> jest większe od 120% średniego K</w:t>
            </w:r>
            <w:r w:rsidRPr="00924565">
              <w:rPr>
                <w:vertAlign w:val="subscript"/>
              </w:rPr>
              <w:t>bk</w:t>
            </w:r>
            <w:r>
              <w:t xml:space="preserve"> w skali kraju</w:t>
            </w:r>
          </w:p>
        </w:tc>
        <w:tc>
          <w:tcPr>
            <w:tcW w:w="3632" w:type="dxa"/>
            <w:vAlign w:val="center"/>
          </w:tcPr>
          <w:p w:rsidR="004F17EF" w:rsidRDefault="004F17EF" w:rsidP="00C641DF">
            <w:pPr>
              <w:jc w:val="center"/>
            </w:pPr>
            <w:r>
              <w:t>10%</w:t>
            </w:r>
          </w:p>
        </w:tc>
      </w:tr>
    </w:tbl>
    <w:p w:rsidR="004F17EF" w:rsidRDefault="004F17EF" w:rsidP="004F17EF"/>
    <w:p w:rsidR="004F17EF" w:rsidRDefault="004F17EF" w:rsidP="004F17EF"/>
    <w:p w:rsidR="004F17EF" w:rsidRDefault="004F17EF" w:rsidP="004F17EF">
      <w:pPr>
        <w:jc w:val="both"/>
      </w:pPr>
      <w:r>
        <w:t xml:space="preserve">Rada Gminy wyrażając zgodę na wyodrębnienie środków na fundusz sołecki realizuje zadania własne gminy określone w art. 7 ust.1 pkt.17 ustawy o samorządzie gminy tj. wspieranie i upowszechnianie idei samorządowej, w tym tworzenie warunków do działania i rozwoju jednostek pomocniczych wdrażanie programów pobudzania aktywności obywatelskiej. Tym samym projekt uchwały jest uzasadniony. </w:t>
      </w:r>
    </w:p>
    <w:p w:rsidR="00986381" w:rsidRDefault="00986381"/>
    <w:sectPr w:rsidR="00986381" w:rsidSect="00986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7EF"/>
    <w:rsid w:val="004F17EF"/>
    <w:rsid w:val="0098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F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2009-09-02T09:03:00Z</dcterms:created>
  <dcterms:modified xsi:type="dcterms:W3CDTF">2009-09-02T09:04:00Z</dcterms:modified>
</cp:coreProperties>
</file>